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0" w:right="536" w:firstLine="0"/>
        <w:jc w:val="right"/>
        <w:rPr>
          <w:i/>
          <w:sz w:val="22"/>
        </w:rPr>
      </w:pPr>
      <w:r>
        <w:rPr/>
        <w:drawing>
          <wp:anchor distT="0" distB="0" distL="0" distR="0" allowOverlap="1" layoutInCell="1" locked="0" behindDoc="0" simplePos="0" relativeHeight="1048">
            <wp:simplePos x="0" y="0"/>
            <wp:positionH relativeFrom="page">
              <wp:posOffset>2825495</wp:posOffset>
            </wp:positionH>
            <wp:positionV relativeFrom="paragraph">
              <wp:posOffset>2153</wp:posOffset>
            </wp:positionV>
            <wp:extent cx="2122170" cy="659891"/>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122170" cy="659891"/>
                    </a:xfrm>
                    <a:prstGeom prst="rect">
                      <a:avLst/>
                    </a:prstGeom>
                  </pic:spPr>
                </pic:pic>
              </a:graphicData>
            </a:graphic>
          </wp:anchor>
        </w:drawing>
      </w:r>
      <w:r>
        <w:rPr>
          <w:i/>
          <w:color w:val="C00000"/>
          <w:sz w:val="22"/>
        </w:rPr>
        <w:t>Updated 2/28/2018</w:t>
      </w:r>
    </w:p>
    <w:p>
      <w:pPr>
        <w:pStyle w:val="BodyText"/>
        <w:rPr>
          <w:i/>
        </w:rPr>
      </w:pPr>
    </w:p>
    <w:p>
      <w:pPr>
        <w:pStyle w:val="BodyText"/>
        <w:rPr>
          <w:i/>
        </w:rPr>
      </w:pPr>
    </w:p>
    <w:p>
      <w:pPr>
        <w:spacing w:before="254"/>
        <w:ind w:left="1987" w:right="0" w:firstLine="0"/>
        <w:jc w:val="left"/>
        <w:rPr>
          <w:sz w:val="48"/>
        </w:rPr>
      </w:pPr>
      <w:r>
        <w:rPr>
          <w:sz w:val="48"/>
          <w:u w:val="thick"/>
        </w:rPr>
        <w:t>Sexual Misconduct Reporting Procedures</w:t>
      </w:r>
    </w:p>
    <w:p>
      <w:pPr>
        <w:spacing w:before="5"/>
        <w:ind w:left="1268" w:right="169" w:hanging="388"/>
        <w:jc w:val="left"/>
        <w:rPr>
          <w:b/>
          <w:i/>
          <w:sz w:val="36"/>
        </w:rPr>
      </w:pPr>
      <w:r>
        <w:rPr>
          <w:b/>
          <w:i/>
          <w:color w:val="000080"/>
          <w:sz w:val="36"/>
        </w:rPr>
        <w:t>If you or someone you know are a victim of sexual misconduct, including </w:t>
      </w:r>
      <w:r>
        <w:rPr>
          <w:b/>
          <w:i/>
          <w:color w:val="000080"/>
          <w:sz w:val="36"/>
        </w:rPr>
        <w:t>sexual harassment, please consider telling someone what happened:</w:t>
      </w:r>
    </w:p>
    <w:p>
      <w:pPr>
        <w:pStyle w:val="ListParagraph"/>
        <w:numPr>
          <w:ilvl w:val="0"/>
          <w:numId w:val="1"/>
        </w:numPr>
        <w:tabs>
          <w:tab w:pos="760" w:val="left" w:leader="none"/>
        </w:tabs>
        <w:spacing w:line="239" w:lineRule="exact" w:before="0" w:after="0"/>
        <w:ind w:left="760" w:right="0" w:hanging="180"/>
        <w:jc w:val="left"/>
        <w:rPr>
          <w:rFonts w:ascii="Symbol"/>
          <w:color w:val="000080"/>
          <w:sz w:val="20"/>
        </w:rPr>
      </w:pPr>
      <w:r>
        <w:rPr>
          <w:color w:val="000080"/>
          <w:sz w:val="20"/>
        </w:rPr>
        <w:t>Notify New Mexico Tech Campus Police at: (575) 835-5555; CamPo is located in the Student Activities Center</w:t>
      </w:r>
      <w:r>
        <w:rPr>
          <w:color w:val="000080"/>
          <w:spacing w:val="-31"/>
          <w:sz w:val="20"/>
        </w:rPr>
        <w:t> </w:t>
      </w:r>
      <w:r>
        <w:rPr>
          <w:color w:val="000080"/>
          <w:sz w:val="20"/>
        </w:rPr>
        <w:t>(SAC).</w:t>
      </w:r>
    </w:p>
    <w:p>
      <w:pPr>
        <w:pStyle w:val="ListParagraph"/>
        <w:numPr>
          <w:ilvl w:val="0"/>
          <w:numId w:val="1"/>
        </w:numPr>
        <w:tabs>
          <w:tab w:pos="762" w:val="left" w:leader="none"/>
        </w:tabs>
        <w:spacing w:line="245" w:lineRule="exact" w:before="0" w:after="0"/>
        <w:ind w:left="761" w:right="0" w:hanging="181"/>
        <w:jc w:val="left"/>
        <w:rPr>
          <w:rFonts w:ascii="Symbol" w:hAnsi="Symbol"/>
          <w:color w:val="000080"/>
          <w:sz w:val="20"/>
        </w:rPr>
      </w:pPr>
      <w:r>
        <w:rPr>
          <w:color w:val="000080"/>
          <w:sz w:val="20"/>
        </w:rPr>
        <w:t>Notify</w:t>
      </w:r>
      <w:r>
        <w:rPr>
          <w:color w:val="000080"/>
          <w:spacing w:val="-4"/>
          <w:sz w:val="20"/>
        </w:rPr>
        <w:t> </w:t>
      </w:r>
      <w:r>
        <w:rPr>
          <w:color w:val="000080"/>
          <w:sz w:val="20"/>
        </w:rPr>
        <w:t>Tech’s</w:t>
      </w:r>
      <w:r>
        <w:rPr>
          <w:color w:val="000080"/>
          <w:spacing w:val="-6"/>
          <w:sz w:val="20"/>
        </w:rPr>
        <w:t> </w:t>
      </w:r>
      <w:r>
        <w:rPr>
          <w:color w:val="000080"/>
          <w:sz w:val="20"/>
        </w:rPr>
        <w:t>Vice</w:t>
      </w:r>
      <w:r>
        <w:rPr>
          <w:color w:val="000080"/>
          <w:spacing w:val="-4"/>
          <w:sz w:val="20"/>
        </w:rPr>
        <w:t> </w:t>
      </w:r>
      <w:r>
        <w:rPr>
          <w:color w:val="000080"/>
          <w:sz w:val="20"/>
        </w:rPr>
        <w:t>President</w:t>
      </w:r>
      <w:r>
        <w:rPr>
          <w:color w:val="000080"/>
          <w:spacing w:val="-6"/>
          <w:sz w:val="20"/>
        </w:rPr>
        <w:t> </w:t>
      </w:r>
      <w:r>
        <w:rPr>
          <w:color w:val="000080"/>
          <w:sz w:val="20"/>
        </w:rPr>
        <w:t>for</w:t>
      </w:r>
      <w:r>
        <w:rPr>
          <w:color w:val="000080"/>
          <w:spacing w:val="-5"/>
          <w:sz w:val="20"/>
        </w:rPr>
        <w:t> </w:t>
      </w:r>
      <w:r>
        <w:rPr>
          <w:color w:val="000080"/>
          <w:sz w:val="20"/>
        </w:rPr>
        <w:t>Student</w:t>
      </w:r>
      <w:r>
        <w:rPr>
          <w:color w:val="000080"/>
          <w:spacing w:val="-6"/>
          <w:sz w:val="20"/>
        </w:rPr>
        <w:t> </w:t>
      </w:r>
      <w:r>
        <w:rPr>
          <w:color w:val="000080"/>
          <w:sz w:val="20"/>
        </w:rPr>
        <w:t>University</w:t>
      </w:r>
      <w:r>
        <w:rPr>
          <w:color w:val="000080"/>
          <w:spacing w:val="-5"/>
          <w:sz w:val="20"/>
        </w:rPr>
        <w:t> </w:t>
      </w:r>
      <w:r>
        <w:rPr>
          <w:color w:val="000080"/>
          <w:sz w:val="20"/>
        </w:rPr>
        <w:t>Relations</w:t>
      </w:r>
      <w:r>
        <w:rPr>
          <w:color w:val="000080"/>
          <w:spacing w:val="-4"/>
          <w:sz w:val="20"/>
        </w:rPr>
        <w:t> </w:t>
      </w:r>
      <w:r>
        <w:rPr>
          <w:color w:val="000080"/>
          <w:sz w:val="20"/>
        </w:rPr>
        <w:t>(VPSUR)</w:t>
      </w:r>
      <w:r>
        <w:rPr>
          <w:color w:val="000080"/>
          <w:spacing w:val="-4"/>
          <w:sz w:val="20"/>
        </w:rPr>
        <w:t> </w:t>
      </w:r>
      <w:r>
        <w:rPr>
          <w:color w:val="000080"/>
          <w:sz w:val="20"/>
        </w:rPr>
        <w:t>at:</w:t>
      </w:r>
      <w:r>
        <w:rPr>
          <w:color w:val="000080"/>
          <w:spacing w:val="-6"/>
          <w:sz w:val="20"/>
        </w:rPr>
        <w:t> </w:t>
      </w:r>
      <w:r>
        <w:rPr>
          <w:color w:val="000080"/>
          <w:sz w:val="20"/>
        </w:rPr>
        <w:t>(575)</w:t>
      </w:r>
      <w:r>
        <w:rPr>
          <w:color w:val="000080"/>
          <w:spacing w:val="-4"/>
          <w:sz w:val="20"/>
        </w:rPr>
        <w:t> </w:t>
      </w:r>
      <w:r>
        <w:rPr>
          <w:color w:val="000080"/>
          <w:sz w:val="20"/>
        </w:rPr>
        <w:t>835-5880,</w:t>
      </w:r>
      <w:r>
        <w:rPr>
          <w:color w:val="000080"/>
          <w:spacing w:val="-6"/>
          <w:sz w:val="20"/>
        </w:rPr>
        <w:t> </w:t>
      </w:r>
      <w:r>
        <w:rPr>
          <w:color w:val="000080"/>
          <w:sz w:val="20"/>
        </w:rPr>
        <w:t>office</w:t>
      </w:r>
      <w:r>
        <w:rPr>
          <w:color w:val="000080"/>
          <w:spacing w:val="-4"/>
          <w:sz w:val="20"/>
        </w:rPr>
        <w:t> </w:t>
      </w:r>
      <w:r>
        <w:rPr>
          <w:color w:val="000080"/>
          <w:sz w:val="20"/>
        </w:rPr>
        <w:t>located</w:t>
      </w:r>
      <w:r>
        <w:rPr>
          <w:color w:val="000080"/>
          <w:spacing w:val="-3"/>
          <w:sz w:val="20"/>
        </w:rPr>
        <w:t> </w:t>
      </w:r>
      <w:r>
        <w:rPr>
          <w:color w:val="000080"/>
          <w:sz w:val="20"/>
        </w:rPr>
        <w:t>on</w:t>
      </w:r>
      <w:r>
        <w:rPr>
          <w:color w:val="000080"/>
          <w:spacing w:val="-3"/>
          <w:sz w:val="20"/>
        </w:rPr>
        <w:t> </w:t>
      </w:r>
      <w:r>
        <w:rPr>
          <w:color w:val="000080"/>
          <w:sz w:val="20"/>
        </w:rPr>
        <w:t>the</w:t>
      </w:r>
      <w:r>
        <w:rPr>
          <w:color w:val="000080"/>
          <w:spacing w:val="-6"/>
          <w:sz w:val="20"/>
        </w:rPr>
        <w:t> </w:t>
      </w:r>
      <w:r>
        <w:rPr>
          <w:color w:val="000080"/>
          <w:sz w:val="20"/>
        </w:rPr>
        <w:t>2</w:t>
      </w:r>
      <w:r>
        <w:rPr>
          <w:color w:val="000080"/>
          <w:sz w:val="20"/>
          <w:vertAlign w:val="superscript"/>
        </w:rPr>
        <w:t>nd</w:t>
      </w:r>
      <w:r>
        <w:rPr>
          <w:color w:val="000080"/>
          <w:spacing w:val="-4"/>
          <w:sz w:val="20"/>
          <w:vertAlign w:val="baseline"/>
        </w:rPr>
        <w:t> </w:t>
      </w:r>
      <w:r>
        <w:rPr>
          <w:color w:val="000080"/>
          <w:sz w:val="20"/>
          <w:vertAlign w:val="baseline"/>
        </w:rPr>
        <w:t>floor</w:t>
      </w:r>
      <w:r>
        <w:rPr>
          <w:color w:val="000080"/>
          <w:spacing w:val="-5"/>
          <w:sz w:val="20"/>
          <w:vertAlign w:val="baseline"/>
        </w:rPr>
        <w:t> </w:t>
      </w:r>
      <w:r>
        <w:rPr>
          <w:color w:val="000080"/>
          <w:sz w:val="20"/>
          <w:vertAlign w:val="baseline"/>
        </w:rPr>
        <w:t>of</w:t>
      </w:r>
      <w:r>
        <w:rPr>
          <w:color w:val="000080"/>
          <w:spacing w:val="-4"/>
          <w:sz w:val="20"/>
          <w:vertAlign w:val="baseline"/>
        </w:rPr>
        <w:t> </w:t>
      </w:r>
      <w:r>
        <w:rPr>
          <w:color w:val="000080"/>
          <w:sz w:val="20"/>
          <w:vertAlign w:val="baseline"/>
        </w:rPr>
        <w:t>Brown</w:t>
      </w:r>
      <w:r>
        <w:rPr>
          <w:color w:val="000080"/>
          <w:spacing w:val="-5"/>
          <w:sz w:val="20"/>
          <w:vertAlign w:val="baseline"/>
        </w:rPr>
        <w:t> </w:t>
      </w:r>
      <w:r>
        <w:rPr>
          <w:color w:val="000080"/>
          <w:sz w:val="20"/>
          <w:vertAlign w:val="baseline"/>
        </w:rPr>
        <w:t>Hall.</w:t>
      </w:r>
    </w:p>
    <w:p>
      <w:pPr>
        <w:pStyle w:val="ListParagraph"/>
        <w:numPr>
          <w:ilvl w:val="0"/>
          <w:numId w:val="1"/>
        </w:numPr>
        <w:tabs>
          <w:tab w:pos="762" w:val="left" w:leader="none"/>
        </w:tabs>
        <w:spacing w:line="242" w:lineRule="exact" w:before="0" w:after="0"/>
        <w:ind w:left="761" w:right="0" w:hanging="182"/>
        <w:jc w:val="left"/>
        <w:rPr>
          <w:rFonts w:ascii="Symbol" w:hAnsi="Symbol"/>
          <w:color w:val="000080"/>
          <w:sz w:val="20"/>
        </w:rPr>
      </w:pPr>
      <w:r>
        <w:rPr>
          <w:color w:val="000080"/>
          <w:sz w:val="20"/>
        </w:rPr>
        <w:t>Notify Tech’s Dean of Graduate Studies(DGS) at (575) 835-5513; office located on the 2</w:t>
      </w:r>
      <w:r>
        <w:rPr>
          <w:color w:val="000080"/>
          <w:sz w:val="20"/>
          <w:vertAlign w:val="superscript"/>
        </w:rPr>
        <w:t>nd</w:t>
      </w:r>
      <w:r>
        <w:rPr>
          <w:color w:val="000080"/>
          <w:sz w:val="20"/>
          <w:vertAlign w:val="baseline"/>
        </w:rPr>
        <w:t> floor of Fidel, Room</w:t>
      </w:r>
      <w:r>
        <w:rPr>
          <w:color w:val="000080"/>
          <w:spacing w:val="-31"/>
          <w:sz w:val="20"/>
          <w:vertAlign w:val="baseline"/>
        </w:rPr>
        <w:t> </w:t>
      </w:r>
      <w:r>
        <w:rPr>
          <w:color w:val="000080"/>
          <w:sz w:val="20"/>
          <w:vertAlign w:val="baseline"/>
        </w:rPr>
        <w:t>280.</w:t>
      </w:r>
    </w:p>
    <w:p>
      <w:pPr>
        <w:pStyle w:val="ListParagraph"/>
        <w:numPr>
          <w:ilvl w:val="0"/>
          <w:numId w:val="1"/>
        </w:numPr>
        <w:tabs>
          <w:tab w:pos="760" w:val="left" w:leader="none"/>
        </w:tabs>
        <w:spacing w:line="250" w:lineRule="exact" w:before="0" w:after="0"/>
        <w:ind w:left="760" w:right="0" w:hanging="180"/>
        <w:jc w:val="left"/>
        <w:rPr>
          <w:rFonts w:ascii="Symbol" w:hAnsi="Symbol"/>
          <w:color w:val="000080"/>
          <w:sz w:val="20"/>
        </w:rPr>
      </w:pPr>
      <w:r>
        <w:rPr>
          <w:color w:val="000080"/>
          <w:sz w:val="20"/>
        </w:rPr>
        <w:t>Notify</w:t>
      </w:r>
      <w:r>
        <w:rPr>
          <w:color w:val="000080"/>
          <w:spacing w:val="-6"/>
          <w:sz w:val="20"/>
        </w:rPr>
        <w:t> </w:t>
      </w:r>
      <w:r>
        <w:rPr>
          <w:color w:val="000080"/>
          <w:sz w:val="20"/>
        </w:rPr>
        <w:t>Tech’s</w:t>
      </w:r>
      <w:r>
        <w:rPr>
          <w:color w:val="000080"/>
          <w:spacing w:val="-6"/>
          <w:sz w:val="20"/>
        </w:rPr>
        <w:t> </w:t>
      </w:r>
      <w:r>
        <w:rPr>
          <w:color w:val="000080"/>
          <w:sz w:val="20"/>
        </w:rPr>
        <w:t>Human</w:t>
      </w:r>
      <w:r>
        <w:rPr>
          <w:color w:val="000080"/>
          <w:spacing w:val="-5"/>
          <w:sz w:val="20"/>
        </w:rPr>
        <w:t> </w:t>
      </w:r>
      <w:r>
        <w:rPr>
          <w:color w:val="000080"/>
          <w:sz w:val="20"/>
        </w:rPr>
        <w:t>Resources</w:t>
      </w:r>
      <w:r>
        <w:rPr>
          <w:color w:val="000080"/>
          <w:spacing w:val="-6"/>
          <w:sz w:val="20"/>
        </w:rPr>
        <w:t> </w:t>
      </w:r>
      <w:r>
        <w:rPr>
          <w:color w:val="000080"/>
          <w:sz w:val="20"/>
        </w:rPr>
        <w:t>Director</w:t>
      </w:r>
      <w:r>
        <w:rPr>
          <w:color w:val="000080"/>
          <w:spacing w:val="-6"/>
          <w:sz w:val="20"/>
        </w:rPr>
        <w:t> </w:t>
      </w:r>
      <w:r>
        <w:rPr>
          <w:color w:val="000080"/>
          <w:sz w:val="20"/>
        </w:rPr>
        <w:t>(HRD)</w:t>
      </w:r>
      <w:r>
        <w:rPr>
          <w:color w:val="000080"/>
          <w:spacing w:val="-6"/>
          <w:sz w:val="20"/>
        </w:rPr>
        <w:t> </w:t>
      </w:r>
      <w:r>
        <w:rPr>
          <w:color w:val="000080"/>
          <w:sz w:val="20"/>
        </w:rPr>
        <w:t>for</w:t>
      </w:r>
      <w:r>
        <w:rPr>
          <w:color w:val="000080"/>
          <w:spacing w:val="-6"/>
          <w:sz w:val="20"/>
        </w:rPr>
        <w:t> </w:t>
      </w:r>
      <w:r>
        <w:rPr>
          <w:color w:val="000080"/>
          <w:sz w:val="20"/>
        </w:rPr>
        <w:t>employees</w:t>
      </w:r>
      <w:r>
        <w:rPr>
          <w:color w:val="000080"/>
          <w:spacing w:val="-6"/>
          <w:sz w:val="20"/>
        </w:rPr>
        <w:t> </w:t>
      </w:r>
      <w:r>
        <w:rPr>
          <w:color w:val="000080"/>
          <w:sz w:val="20"/>
        </w:rPr>
        <w:t>and</w:t>
      </w:r>
      <w:r>
        <w:rPr>
          <w:color w:val="000080"/>
          <w:spacing w:val="-6"/>
          <w:sz w:val="20"/>
        </w:rPr>
        <w:t> </w:t>
      </w:r>
      <w:r>
        <w:rPr>
          <w:color w:val="000080"/>
          <w:sz w:val="20"/>
        </w:rPr>
        <w:t>work-related</w:t>
      </w:r>
      <w:r>
        <w:rPr>
          <w:color w:val="000080"/>
          <w:spacing w:val="-4"/>
          <w:sz w:val="20"/>
        </w:rPr>
        <w:t> </w:t>
      </w:r>
      <w:r>
        <w:rPr>
          <w:color w:val="000080"/>
          <w:sz w:val="20"/>
        </w:rPr>
        <w:t>incidents</w:t>
      </w:r>
      <w:r>
        <w:rPr>
          <w:color w:val="000080"/>
          <w:spacing w:val="-6"/>
          <w:sz w:val="20"/>
        </w:rPr>
        <w:t> </w:t>
      </w:r>
      <w:r>
        <w:rPr>
          <w:color w:val="000080"/>
          <w:sz w:val="20"/>
        </w:rPr>
        <w:t>at:</w:t>
      </w:r>
      <w:r>
        <w:rPr>
          <w:color w:val="000080"/>
          <w:spacing w:val="-6"/>
          <w:sz w:val="20"/>
        </w:rPr>
        <w:t> </w:t>
      </w:r>
      <w:r>
        <w:rPr>
          <w:color w:val="000080"/>
          <w:sz w:val="20"/>
        </w:rPr>
        <w:t>(575)</w:t>
      </w:r>
      <w:r>
        <w:rPr>
          <w:color w:val="000080"/>
          <w:spacing w:val="-6"/>
          <w:sz w:val="20"/>
        </w:rPr>
        <w:t> </w:t>
      </w:r>
      <w:r>
        <w:rPr>
          <w:color w:val="000080"/>
          <w:sz w:val="20"/>
        </w:rPr>
        <w:t>835-5955;</w:t>
      </w:r>
      <w:r>
        <w:rPr>
          <w:color w:val="000080"/>
          <w:spacing w:val="-6"/>
          <w:sz w:val="20"/>
        </w:rPr>
        <w:t> </w:t>
      </w:r>
      <w:r>
        <w:rPr>
          <w:color w:val="000080"/>
          <w:sz w:val="20"/>
        </w:rPr>
        <w:t>1</w:t>
      </w:r>
      <w:r>
        <w:rPr>
          <w:color w:val="000080"/>
          <w:sz w:val="20"/>
          <w:vertAlign w:val="superscript"/>
        </w:rPr>
        <w:t>st</w:t>
      </w:r>
      <w:r>
        <w:rPr>
          <w:color w:val="000080"/>
          <w:spacing w:val="-5"/>
          <w:sz w:val="20"/>
          <w:vertAlign w:val="baseline"/>
        </w:rPr>
        <w:t> </w:t>
      </w:r>
      <w:r>
        <w:rPr>
          <w:color w:val="000080"/>
          <w:sz w:val="20"/>
          <w:vertAlign w:val="baseline"/>
        </w:rPr>
        <w:t>floor</w:t>
      </w:r>
      <w:r>
        <w:rPr>
          <w:color w:val="000080"/>
          <w:spacing w:val="-5"/>
          <w:sz w:val="20"/>
          <w:vertAlign w:val="baseline"/>
        </w:rPr>
        <w:t> </w:t>
      </w:r>
      <w:r>
        <w:rPr>
          <w:color w:val="000080"/>
          <w:sz w:val="20"/>
          <w:vertAlign w:val="baseline"/>
        </w:rPr>
        <w:t>of</w:t>
      </w:r>
      <w:r>
        <w:rPr>
          <w:color w:val="000080"/>
          <w:spacing w:val="-5"/>
          <w:sz w:val="20"/>
          <w:vertAlign w:val="baseline"/>
        </w:rPr>
        <w:t> </w:t>
      </w:r>
      <w:r>
        <w:rPr>
          <w:color w:val="000080"/>
          <w:sz w:val="20"/>
          <w:vertAlign w:val="baseline"/>
        </w:rPr>
        <w:t>Brown</w:t>
      </w:r>
      <w:r>
        <w:rPr>
          <w:color w:val="000080"/>
          <w:spacing w:val="-6"/>
          <w:sz w:val="20"/>
          <w:vertAlign w:val="baseline"/>
        </w:rPr>
        <w:t> </w:t>
      </w:r>
      <w:r>
        <w:rPr>
          <w:color w:val="000080"/>
          <w:sz w:val="20"/>
          <w:vertAlign w:val="baseline"/>
        </w:rPr>
        <w:t>Hall.</w:t>
      </w:r>
    </w:p>
    <w:p>
      <w:pPr>
        <w:pStyle w:val="ListParagraph"/>
        <w:numPr>
          <w:ilvl w:val="0"/>
          <w:numId w:val="1"/>
        </w:numPr>
        <w:tabs>
          <w:tab w:pos="761" w:val="left" w:leader="none"/>
        </w:tabs>
        <w:spacing w:line="244" w:lineRule="exact" w:before="0" w:after="0"/>
        <w:ind w:left="760" w:right="0" w:hanging="180"/>
        <w:jc w:val="left"/>
        <w:rPr>
          <w:rFonts w:ascii="Symbol" w:hAnsi="Symbol"/>
          <w:color w:val="000080"/>
          <w:sz w:val="20"/>
        </w:rPr>
      </w:pPr>
      <w:r>
        <w:rPr>
          <w:color w:val="000080"/>
          <w:sz w:val="20"/>
        </w:rPr>
        <w:t>Notify</w:t>
      </w:r>
      <w:r>
        <w:rPr>
          <w:color w:val="000080"/>
          <w:spacing w:val="-7"/>
          <w:sz w:val="20"/>
        </w:rPr>
        <w:t> </w:t>
      </w:r>
      <w:r>
        <w:rPr>
          <w:color w:val="000080"/>
          <w:sz w:val="20"/>
        </w:rPr>
        <w:t>Tech’s</w:t>
      </w:r>
      <w:r>
        <w:rPr>
          <w:color w:val="000080"/>
          <w:spacing w:val="-7"/>
          <w:sz w:val="20"/>
        </w:rPr>
        <w:t> </w:t>
      </w:r>
      <w:r>
        <w:rPr>
          <w:color w:val="000080"/>
          <w:sz w:val="20"/>
        </w:rPr>
        <w:t>Affirmative</w:t>
      </w:r>
      <w:r>
        <w:rPr>
          <w:color w:val="000080"/>
          <w:spacing w:val="-7"/>
          <w:sz w:val="20"/>
        </w:rPr>
        <w:t> </w:t>
      </w:r>
      <w:r>
        <w:rPr>
          <w:color w:val="000080"/>
          <w:sz w:val="20"/>
        </w:rPr>
        <w:t>Action/Equal</w:t>
      </w:r>
      <w:r>
        <w:rPr>
          <w:color w:val="000080"/>
          <w:spacing w:val="-7"/>
          <w:sz w:val="20"/>
        </w:rPr>
        <w:t> </w:t>
      </w:r>
      <w:r>
        <w:rPr>
          <w:color w:val="000080"/>
          <w:sz w:val="20"/>
        </w:rPr>
        <w:t>Employment</w:t>
      </w:r>
      <w:r>
        <w:rPr>
          <w:color w:val="000080"/>
          <w:spacing w:val="-6"/>
          <w:sz w:val="20"/>
        </w:rPr>
        <w:t> </w:t>
      </w:r>
      <w:r>
        <w:rPr>
          <w:color w:val="000080"/>
          <w:sz w:val="20"/>
        </w:rPr>
        <w:t>Opportunity</w:t>
      </w:r>
      <w:r>
        <w:rPr>
          <w:color w:val="000080"/>
          <w:spacing w:val="-7"/>
          <w:sz w:val="20"/>
        </w:rPr>
        <w:t> </w:t>
      </w:r>
      <w:r>
        <w:rPr>
          <w:color w:val="000080"/>
          <w:sz w:val="20"/>
        </w:rPr>
        <w:t>Commission</w:t>
      </w:r>
      <w:r>
        <w:rPr>
          <w:color w:val="000080"/>
          <w:spacing w:val="-7"/>
          <w:sz w:val="20"/>
        </w:rPr>
        <w:t> </w:t>
      </w:r>
      <w:r>
        <w:rPr>
          <w:color w:val="000080"/>
          <w:sz w:val="20"/>
        </w:rPr>
        <w:t>(AA/EEOC):</w:t>
      </w:r>
      <w:r>
        <w:rPr>
          <w:color w:val="000080"/>
          <w:spacing w:val="-7"/>
          <w:sz w:val="20"/>
        </w:rPr>
        <w:t> </w:t>
      </w:r>
      <w:r>
        <w:rPr>
          <w:color w:val="000080"/>
          <w:sz w:val="20"/>
        </w:rPr>
        <w:t>(575)</w:t>
      </w:r>
      <w:r>
        <w:rPr>
          <w:color w:val="000080"/>
          <w:spacing w:val="-4"/>
          <w:sz w:val="20"/>
        </w:rPr>
        <w:t> </w:t>
      </w:r>
      <w:r>
        <w:rPr>
          <w:color w:val="000080"/>
          <w:sz w:val="20"/>
        </w:rPr>
        <w:t>835-5005;</w:t>
      </w:r>
      <w:r>
        <w:rPr>
          <w:color w:val="000080"/>
          <w:spacing w:val="-8"/>
          <w:sz w:val="20"/>
        </w:rPr>
        <w:t> </w:t>
      </w:r>
      <w:r>
        <w:rPr>
          <w:color w:val="000080"/>
          <w:sz w:val="20"/>
        </w:rPr>
        <w:t>2</w:t>
      </w:r>
      <w:r>
        <w:rPr>
          <w:color w:val="000080"/>
          <w:sz w:val="20"/>
          <w:vertAlign w:val="superscript"/>
        </w:rPr>
        <w:t>nd</w:t>
      </w:r>
      <w:r>
        <w:rPr>
          <w:color w:val="000080"/>
          <w:spacing w:val="-6"/>
          <w:sz w:val="20"/>
          <w:vertAlign w:val="baseline"/>
        </w:rPr>
        <w:t> </w:t>
      </w:r>
      <w:r>
        <w:rPr>
          <w:color w:val="000080"/>
          <w:sz w:val="20"/>
          <w:vertAlign w:val="baseline"/>
        </w:rPr>
        <w:t>floor</w:t>
      </w:r>
      <w:r>
        <w:rPr>
          <w:color w:val="000080"/>
          <w:spacing w:val="-6"/>
          <w:sz w:val="20"/>
          <w:vertAlign w:val="baseline"/>
        </w:rPr>
        <w:t> </w:t>
      </w:r>
      <w:r>
        <w:rPr>
          <w:color w:val="000080"/>
          <w:sz w:val="20"/>
          <w:vertAlign w:val="baseline"/>
        </w:rPr>
        <w:t>of</w:t>
      </w:r>
      <w:r>
        <w:rPr>
          <w:color w:val="000080"/>
          <w:spacing w:val="-6"/>
          <w:sz w:val="20"/>
          <w:vertAlign w:val="baseline"/>
        </w:rPr>
        <w:t> </w:t>
      </w:r>
      <w:r>
        <w:rPr>
          <w:color w:val="000080"/>
          <w:sz w:val="20"/>
          <w:vertAlign w:val="baseline"/>
        </w:rPr>
        <w:t>Fitch</w:t>
      </w:r>
      <w:r>
        <w:rPr>
          <w:color w:val="000080"/>
          <w:spacing w:val="-7"/>
          <w:sz w:val="20"/>
          <w:vertAlign w:val="baseline"/>
        </w:rPr>
        <w:t> </w:t>
      </w:r>
      <w:r>
        <w:rPr>
          <w:color w:val="000080"/>
          <w:sz w:val="20"/>
          <w:vertAlign w:val="baseline"/>
        </w:rPr>
        <w:t>Hall.</w:t>
      </w:r>
    </w:p>
    <w:p>
      <w:pPr>
        <w:pStyle w:val="ListParagraph"/>
        <w:numPr>
          <w:ilvl w:val="0"/>
          <w:numId w:val="1"/>
        </w:numPr>
        <w:tabs>
          <w:tab w:pos="760" w:val="left" w:leader="none"/>
        </w:tabs>
        <w:spacing w:line="256" w:lineRule="exact" w:before="0" w:after="0"/>
        <w:ind w:left="760" w:right="0" w:hanging="180"/>
        <w:jc w:val="left"/>
        <w:rPr>
          <w:rFonts w:ascii="Symbol" w:hAnsi="Symbol"/>
          <w:color w:val="000080"/>
          <w:sz w:val="20"/>
        </w:rPr>
      </w:pPr>
      <w:r>
        <w:rPr>
          <w:color w:val="000080"/>
          <w:sz w:val="20"/>
        </w:rPr>
        <w:t>Notify</w:t>
      </w:r>
      <w:r>
        <w:rPr>
          <w:color w:val="000080"/>
          <w:spacing w:val="-2"/>
          <w:sz w:val="20"/>
        </w:rPr>
        <w:t> </w:t>
      </w:r>
      <w:r>
        <w:rPr>
          <w:color w:val="000080"/>
          <w:sz w:val="20"/>
        </w:rPr>
        <w:t>Tech’s</w:t>
      </w:r>
      <w:r>
        <w:rPr>
          <w:color w:val="000080"/>
          <w:spacing w:val="-4"/>
          <w:sz w:val="20"/>
        </w:rPr>
        <w:t> </w:t>
      </w:r>
      <w:r>
        <w:rPr>
          <w:color w:val="000080"/>
          <w:sz w:val="20"/>
        </w:rPr>
        <w:t>Title</w:t>
      </w:r>
      <w:r>
        <w:rPr>
          <w:color w:val="000080"/>
          <w:spacing w:val="-3"/>
          <w:sz w:val="20"/>
        </w:rPr>
        <w:t> </w:t>
      </w:r>
      <w:r>
        <w:rPr>
          <w:color w:val="000080"/>
          <w:sz w:val="20"/>
        </w:rPr>
        <w:t>IX</w:t>
      </w:r>
      <w:r>
        <w:rPr>
          <w:color w:val="000080"/>
          <w:spacing w:val="-2"/>
          <w:sz w:val="20"/>
        </w:rPr>
        <w:t> </w:t>
      </w:r>
      <w:r>
        <w:rPr>
          <w:color w:val="000080"/>
          <w:sz w:val="20"/>
        </w:rPr>
        <w:t>Coordinator</w:t>
      </w:r>
      <w:r>
        <w:rPr>
          <w:color w:val="000080"/>
          <w:spacing w:val="-2"/>
          <w:sz w:val="20"/>
        </w:rPr>
        <w:t> </w:t>
      </w:r>
      <w:r>
        <w:rPr>
          <w:color w:val="000080"/>
          <w:sz w:val="20"/>
        </w:rPr>
        <w:t>(T9C)</w:t>
      </w:r>
      <w:r>
        <w:rPr>
          <w:color w:val="000080"/>
          <w:spacing w:val="-2"/>
          <w:sz w:val="20"/>
        </w:rPr>
        <w:t> </w:t>
      </w:r>
      <w:r>
        <w:rPr>
          <w:color w:val="000080"/>
          <w:sz w:val="20"/>
        </w:rPr>
        <w:t>Peter</w:t>
      </w:r>
      <w:r>
        <w:rPr>
          <w:color w:val="000080"/>
          <w:spacing w:val="-4"/>
          <w:sz w:val="20"/>
        </w:rPr>
        <w:t> </w:t>
      </w:r>
      <w:r>
        <w:rPr>
          <w:color w:val="000080"/>
          <w:sz w:val="20"/>
        </w:rPr>
        <w:t>Phaiah</w:t>
      </w:r>
      <w:r>
        <w:rPr>
          <w:color w:val="000080"/>
          <w:spacing w:val="-1"/>
          <w:sz w:val="20"/>
        </w:rPr>
        <w:t> </w:t>
      </w:r>
      <w:r>
        <w:rPr>
          <w:color w:val="000080"/>
          <w:sz w:val="20"/>
        </w:rPr>
        <w:t>at:</w:t>
      </w:r>
      <w:r>
        <w:rPr>
          <w:color w:val="000080"/>
          <w:spacing w:val="-2"/>
          <w:sz w:val="20"/>
        </w:rPr>
        <w:t> </w:t>
      </w:r>
      <w:r>
        <w:rPr>
          <w:color w:val="000080"/>
          <w:sz w:val="20"/>
        </w:rPr>
        <w:t>(575)</w:t>
      </w:r>
      <w:r>
        <w:rPr>
          <w:color w:val="000080"/>
          <w:spacing w:val="-3"/>
          <w:sz w:val="20"/>
        </w:rPr>
        <w:t> </w:t>
      </w:r>
      <w:r>
        <w:rPr>
          <w:color w:val="000080"/>
          <w:sz w:val="20"/>
        </w:rPr>
        <w:t>835-5187;</w:t>
      </w:r>
      <w:r>
        <w:rPr>
          <w:color w:val="000080"/>
          <w:spacing w:val="-2"/>
          <w:sz w:val="20"/>
        </w:rPr>
        <w:t> </w:t>
      </w:r>
      <w:r>
        <w:rPr>
          <w:color w:val="000080"/>
          <w:sz w:val="20"/>
        </w:rPr>
        <w:t>the</w:t>
      </w:r>
      <w:r>
        <w:rPr>
          <w:color w:val="000080"/>
          <w:spacing w:val="-2"/>
          <w:sz w:val="20"/>
        </w:rPr>
        <w:t> </w:t>
      </w:r>
      <w:r>
        <w:rPr>
          <w:color w:val="000080"/>
          <w:sz w:val="20"/>
        </w:rPr>
        <w:t>coordinator</w:t>
      </w:r>
      <w:r>
        <w:rPr>
          <w:color w:val="000080"/>
          <w:spacing w:val="-2"/>
          <w:sz w:val="20"/>
        </w:rPr>
        <w:t> </w:t>
      </w:r>
      <w:r>
        <w:rPr>
          <w:color w:val="000080"/>
          <w:sz w:val="20"/>
        </w:rPr>
        <w:t>is</w:t>
      </w:r>
      <w:r>
        <w:rPr>
          <w:color w:val="000080"/>
          <w:spacing w:val="-2"/>
          <w:sz w:val="20"/>
        </w:rPr>
        <w:t> </w:t>
      </w:r>
      <w:r>
        <w:rPr>
          <w:color w:val="000080"/>
          <w:sz w:val="20"/>
        </w:rPr>
        <w:t>located</w:t>
      </w:r>
      <w:r>
        <w:rPr>
          <w:color w:val="000080"/>
          <w:spacing w:val="-1"/>
          <w:sz w:val="20"/>
        </w:rPr>
        <w:t> </w:t>
      </w:r>
      <w:r>
        <w:rPr>
          <w:color w:val="000080"/>
          <w:sz w:val="20"/>
        </w:rPr>
        <w:t>at</w:t>
      </w:r>
      <w:r>
        <w:rPr>
          <w:color w:val="000080"/>
          <w:spacing w:val="-2"/>
          <w:sz w:val="20"/>
        </w:rPr>
        <w:t> </w:t>
      </w:r>
      <w:r>
        <w:rPr>
          <w:color w:val="000080"/>
          <w:sz w:val="20"/>
        </w:rPr>
        <w:t>Room</w:t>
      </w:r>
      <w:r>
        <w:rPr>
          <w:color w:val="000080"/>
          <w:spacing w:val="-4"/>
          <w:sz w:val="20"/>
        </w:rPr>
        <w:t> </w:t>
      </w:r>
      <w:r>
        <w:rPr>
          <w:color w:val="000080"/>
          <w:sz w:val="20"/>
        </w:rPr>
        <w:t>21A</w:t>
      </w:r>
      <w:r>
        <w:rPr>
          <w:color w:val="000080"/>
          <w:spacing w:val="-3"/>
          <w:sz w:val="20"/>
        </w:rPr>
        <w:t> </w:t>
      </w:r>
      <w:r>
        <w:rPr>
          <w:color w:val="000080"/>
          <w:sz w:val="20"/>
        </w:rPr>
        <w:t>Brown</w:t>
      </w:r>
      <w:r>
        <w:rPr>
          <w:color w:val="000080"/>
          <w:spacing w:val="-4"/>
          <w:sz w:val="20"/>
        </w:rPr>
        <w:t> </w:t>
      </w:r>
      <w:r>
        <w:rPr>
          <w:color w:val="000080"/>
          <w:sz w:val="20"/>
        </w:rPr>
        <w:t>Hall.</w:t>
      </w:r>
    </w:p>
    <w:p>
      <w:pPr>
        <w:pStyle w:val="ListParagraph"/>
        <w:numPr>
          <w:ilvl w:val="0"/>
          <w:numId w:val="1"/>
        </w:numPr>
        <w:tabs>
          <w:tab w:pos="760" w:val="left" w:leader="none"/>
        </w:tabs>
        <w:spacing w:line="265" w:lineRule="exact" w:before="0" w:after="0"/>
        <w:ind w:left="759" w:right="0" w:hanging="179"/>
        <w:jc w:val="left"/>
        <w:rPr>
          <w:rFonts w:ascii="Symbol"/>
          <w:color w:val="000080"/>
          <w:sz w:val="20"/>
        </w:rPr>
      </w:pPr>
      <w:r>
        <w:rPr>
          <w:color w:val="000080"/>
          <w:sz w:val="20"/>
        </w:rPr>
        <w:t>Notify a Residential Life Coordinator, a Resident Assistant (RA), or talk to a trusted professor or</w:t>
      </w:r>
      <w:r>
        <w:rPr>
          <w:color w:val="000080"/>
          <w:spacing w:val="-18"/>
          <w:sz w:val="20"/>
        </w:rPr>
        <w:t> </w:t>
      </w:r>
      <w:r>
        <w:rPr>
          <w:color w:val="000080"/>
          <w:sz w:val="20"/>
        </w:rPr>
        <w:t>administrator.</w:t>
      </w:r>
    </w:p>
    <w:p>
      <w:pPr>
        <w:pStyle w:val="ListParagraph"/>
        <w:numPr>
          <w:ilvl w:val="0"/>
          <w:numId w:val="1"/>
        </w:numPr>
        <w:tabs>
          <w:tab w:pos="760" w:val="left" w:leader="none"/>
        </w:tabs>
        <w:spacing w:line="240" w:lineRule="auto" w:before="3" w:after="0"/>
        <w:ind w:left="760" w:right="0" w:hanging="175"/>
        <w:jc w:val="left"/>
        <w:rPr>
          <w:rFonts w:ascii="Symbol"/>
          <w:sz w:val="20"/>
        </w:rPr>
      </w:pPr>
      <w:r>
        <w:rPr>
          <w:color w:val="000080"/>
          <w:sz w:val="20"/>
        </w:rPr>
        <w:t>Talk</w:t>
      </w:r>
      <w:r>
        <w:rPr>
          <w:color w:val="000080"/>
          <w:spacing w:val="-4"/>
          <w:sz w:val="20"/>
        </w:rPr>
        <w:t> </w:t>
      </w:r>
      <w:r>
        <w:rPr>
          <w:color w:val="000080"/>
          <w:sz w:val="20"/>
        </w:rPr>
        <w:t>with</w:t>
      </w:r>
      <w:r>
        <w:rPr>
          <w:color w:val="000080"/>
          <w:spacing w:val="-2"/>
          <w:sz w:val="20"/>
        </w:rPr>
        <w:t> </w:t>
      </w:r>
      <w:r>
        <w:rPr>
          <w:color w:val="000080"/>
          <w:sz w:val="20"/>
        </w:rPr>
        <w:t>a</w:t>
      </w:r>
      <w:r>
        <w:rPr>
          <w:color w:val="000080"/>
          <w:spacing w:val="-5"/>
          <w:sz w:val="20"/>
        </w:rPr>
        <w:t> </w:t>
      </w:r>
      <w:r>
        <w:rPr>
          <w:b/>
          <w:color w:val="000080"/>
          <w:sz w:val="20"/>
        </w:rPr>
        <w:t>Confidential</w:t>
      </w:r>
      <w:r>
        <w:rPr>
          <w:b/>
          <w:color w:val="000080"/>
          <w:spacing w:val="-4"/>
          <w:sz w:val="20"/>
        </w:rPr>
        <w:t> </w:t>
      </w:r>
      <w:r>
        <w:rPr>
          <w:b/>
          <w:color w:val="000080"/>
          <w:sz w:val="20"/>
        </w:rPr>
        <w:t>Provider</w:t>
      </w:r>
      <w:r>
        <w:rPr>
          <w:b/>
          <w:color w:val="000080"/>
          <w:spacing w:val="-3"/>
          <w:sz w:val="20"/>
        </w:rPr>
        <w:t> </w:t>
      </w:r>
      <w:r>
        <w:rPr>
          <w:b/>
          <w:color w:val="000080"/>
          <w:sz w:val="20"/>
        </w:rPr>
        <w:t>or</w:t>
      </w:r>
      <w:r>
        <w:rPr>
          <w:b/>
          <w:color w:val="000080"/>
          <w:spacing w:val="-4"/>
          <w:sz w:val="20"/>
        </w:rPr>
        <w:t> </w:t>
      </w:r>
      <w:r>
        <w:rPr>
          <w:b/>
          <w:color w:val="000080"/>
          <w:sz w:val="20"/>
        </w:rPr>
        <w:t>Counselor</w:t>
      </w:r>
      <w:r>
        <w:rPr>
          <w:b/>
          <w:color w:val="000080"/>
          <w:spacing w:val="-2"/>
          <w:sz w:val="20"/>
        </w:rPr>
        <w:t> </w:t>
      </w:r>
      <w:r>
        <w:rPr>
          <w:color w:val="000080"/>
          <w:sz w:val="20"/>
        </w:rPr>
        <w:t>at</w:t>
      </w:r>
      <w:r>
        <w:rPr>
          <w:color w:val="000080"/>
          <w:spacing w:val="-3"/>
          <w:sz w:val="20"/>
        </w:rPr>
        <w:t> </w:t>
      </w:r>
      <w:r>
        <w:rPr>
          <w:color w:val="000080"/>
          <w:sz w:val="20"/>
        </w:rPr>
        <w:t>the</w:t>
      </w:r>
      <w:r>
        <w:rPr>
          <w:color w:val="000080"/>
          <w:spacing w:val="-3"/>
          <w:sz w:val="20"/>
        </w:rPr>
        <w:t> </w:t>
      </w:r>
      <w:r>
        <w:rPr>
          <w:color w:val="000080"/>
          <w:sz w:val="20"/>
        </w:rPr>
        <w:t>Student</w:t>
      </w:r>
      <w:r>
        <w:rPr>
          <w:color w:val="000080"/>
          <w:spacing w:val="-5"/>
          <w:sz w:val="20"/>
        </w:rPr>
        <w:t> </w:t>
      </w:r>
      <w:r>
        <w:rPr>
          <w:color w:val="000080"/>
          <w:sz w:val="20"/>
        </w:rPr>
        <w:t>Health</w:t>
      </w:r>
      <w:r>
        <w:rPr>
          <w:color w:val="000080"/>
          <w:spacing w:val="-3"/>
          <w:sz w:val="20"/>
        </w:rPr>
        <w:t> </w:t>
      </w:r>
      <w:r>
        <w:rPr>
          <w:color w:val="000080"/>
          <w:sz w:val="20"/>
        </w:rPr>
        <w:t>(575-835-5094)</w:t>
      </w:r>
      <w:r>
        <w:rPr>
          <w:color w:val="000080"/>
          <w:spacing w:val="-4"/>
          <w:sz w:val="20"/>
        </w:rPr>
        <w:t> </w:t>
      </w:r>
      <w:r>
        <w:rPr>
          <w:color w:val="000080"/>
          <w:sz w:val="20"/>
        </w:rPr>
        <w:t>and</w:t>
      </w:r>
      <w:r>
        <w:rPr>
          <w:color w:val="000080"/>
          <w:spacing w:val="-2"/>
          <w:sz w:val="20"/>
        </w:rPr>
        <w:t> </w:t>
      </w:r>
      <w:r>
        <w:rPr>
          <w:color w:val="000080"/>
          <w:sz w:val="20"/>
        </w:rPr>
        <w:t>Counseling</w:t>
      </w:r>
      <w:r>
        <w:rPr>
          <w:color w:val="000080"/>
          <w:spacing w:val="-4"/>
          <w:sz w:val="20"/>
        </w:rPr>
        <w:t> </w:t>
      </w:r>
      <w:r>
        <w:rPr>
          <w:color w:val="000080"/>
          <w:sz w:val="20"/>
        </w:rPr>
        <w:t>&amp;</w:t>
      </w:r>
      <w:r>
        <w:rPr>
          <w:color w:val="000080"/>
          <w:spacing w:val="-3"/>
          <w:sz w:val="20"/>
        </w:rPr>
        <w:t> </w:t>
      </w:r>
      <w:r>
        <w:rPr>
          <w:color w:val="000080"/>
          <w:sz w:val="20"/>
        </w:rPr>
        <w:t>Disability</w:t>
      </w:r>
      <w:r>
        <w:rPr>
          <w:color w:val="000080"/>
          <w:spacing w:val="-3"/>
          <w:sz w:val="20"/>
        </w:rPr>
        <w:t> </w:t>
      </w:r>
      <w:r>
        <w:rPr>
          <w:color w:val="000080"/>
          <w:sz w:val="20"/>
        </w:rPr>
        <w:t>Services</w:t>
      </w:r>
      <w:r>
        <w:rPr>
          <w:color w:val="000080"/>
          <w:spacing w:val="-3"/>
          <w:sz w:val="20"/>
        </w:rPr>
        <w:t> </w:t>
      </w:r>
      <w:r>
        <w:rPr>
          <w:color w:val="000080"/>
          <w:sz w:val="20"/>
        </w:rPr>
        <w:t>Center</w:t>
      </w:r>
    </w:p>
    <w:p>
      <w:pPr>
        <w:pStyle w:val="BodyText"/>
        <w:spacing w:line="230" w:lineRule="exact" w:before="2"/>
        <w:ind w:left="760"/>
      </w:pPr>
      <w:r>
        <w:rPr>
          <w:color w:val="000080"/>
        </w:rPr>
        <w:t>(575-835-6619), 1</w:t>
      </w:r>
      <w:r>
        <w:rPr>
          <w:color w:val="000080"/>
          <w:vertAlign w:val="superscript"/>
        </w:rPr>
        <w:t>st</w:t>
      </w:r>
      <w:r>
        <w:rPr>
          <w:color w:val="000080"/>
          <w:vertAlign w:val="baseline"/>
        </w:rPr>
        <w:t> floor Fidel</w:t>
      </w:r>
    </w:p>
    <w:p>
      <w:pPr>
        <w:spacing w:before="0"/>
        <w:ind w:left="760" w:right="273" w:firstLine="0"/>
        <w:jc w:val="left"/>
        <w:rPr>
          <w:b/>
          <w:i/>
          <w:sz w:val="18"/>
        </w:rPr>
      </w:pPr>
      <w:r>
        <w:rPr>
          <w:b/>
          <w:i/>
          <w:color w:val="000080"/>
          <w:sz w:val="18"/>
        </w:rPr>
        <w:t>Please note, NMT administrators, supervisors, faculty, and other professional staff, including Resident Assistants, and Teaching Assistants have </w:t>
      </w:r>
      <w:r>
        <w:rPr>
          <w:b/>
          <w:i/>
          <w:color w:val="000080"/>
          <w:sz w:val="18"/>
        </w:rPr>
        <w:t>been designated “responsible employees” as defined by the U.S. Department of Education’s Office of Civil Rights. NMT's responsible employees are therefore obligated to report any known information regarding sexual misconduct or other forms of sexual or gender-based discrimination to our Title IX Coordinator. Confidential support staff can be found in the NMT Student Health Center and Counseling &amp; Disability Services Center.</w:t>
      </w:r>
    </w:p>
    <w:p>
      <w:pPr>
        <w:spacing w:line="409" w:lineRule="exact" w:before="0"/>
        <w:ind w:left="976" w:right="932" w:firstLine="0"/>
        <w:jc w:val="center"/>
        <w:rPr>
          <w:sz w:val="36"/>
        </w:rPr>
      </w:pPr>
      <w:r>
        <w:rPr/>
        <w:pict>
          <v:shapetype id="_x0000_t202" o:spt="202" coordsize="21600,21600" path="m,l,21600r21600,l21600,xe">
            <v:stroke joinstyle="miter"/>
            <v:path gradientshapeok="t" o:connecttype="rect"/>
          </v:shapetype>
          <v:shape style="position:absolute;margin-left:237.960007pt;margin-top:24.92683pt;width:206.25pt;height:96.6pt;mso-position-horizontal-relative:page;mso-position-vertical-relative:paragraph;z-index:1192" type="#_x0000_t202" filled="false" stroked="true" strokeweight=".78pt" strokecolor="#000080">
            <v:textbox inset="0,0,0,0">
              <w:txbxContent>
                <w:p>
                  <w:pPr>
                    <w:spacing w:line="320" w:lineRule="exact" w:before="0"/>
                    <w:ind w:left="58" w:right="0" w:firstLine="0"/>
                    <w:jc w:val="left"/>
                    <w:rPr>
                      <w:b/>
                      <w:sz w:val="28"/>
                    </w:rPr>
                  </w:pPr>
                  <w:r>
                    <w:rPr>
                      <w:b/>
                      <w:color w:val="000080"/>
                      <w:sz w:val="28"/>
                    </w:rPr>
                    <w:t>Option 2.</w:t>
                  </w:r>
                </w:p>
                <w:p>
                  <w:pPr>
                    <w:spacing w:line="228" w:lineRule="exact" w:before="0"/>
                    <w:ind w:left="58" w:right="0" w:firstLine="0"/>
                    <w:jc w:val="left"/>
                    <w:rPr>
                      <w:b/>
                      <w:sz w:val="20"/>
                    </w:rPr>
                  </w:pPr>
                  <w:r>
                    <w:rPr>
                      <w:b/>
                      <w:color w:val="000080"/>
                      <w:sz w:val="20"/>
                    </w:rPr>
                    <w:t>Pursue criminal charges</w:t>
                  </w:r>
                </w:p>
                <w:p>
                  <w:pPr>
                    <w:pStyle w:val="BodyText"/>
                    <w:numPr>
                      <w:ilvl w:val="0"/>
                      <w:numId w:val="2"/>
                    </w:numPr>
                    <w:tabs>
                      <w:tab w:pos="239" w:val="left" w:leader="none"/>
                    </w:tabs>
                    <w:spacing w:line="240" w:lineRule="auto" w:before="0" w:after="0"/>
                    <w:ind w:left="238" w:right="317" w:hanging="180"/>
                    <w:jc w:val="left"/>
                  </w:pPr>
                  <w:r>
                    <w:rPr/>
                    <w:t>Investigation is conducted by NMT Campus Police.</w:t>
                  </w:r>
                </w:p>
                <w:p>
                  <w:pPr>
                    <w:pStyle w:val="BodyText"/>
                    <w:numPr>
                      <w:ilvl w:val="0"/>
                      <w:numId w:val="2"/>
                    </w:numPr>
                    <w:tabs>
                      <w:tab w:pos="239" w:val="left" w:leader="none"/>
                    </w:tabs>
                    <w:spacing w:line="230" w:lineRule="exact" w:before="16" w:after="0"/>
                    <w:ind w:left="238" w:right="118" w:hanging="180"/>
                    <w:jc w:val="left"/>
                  </w:pPr>
                  <w:r>
                    <w:rPr/>
                    <w:t>Upon completion of the investigation, report is forwarded to the Socorro County</w:t>
                  </w:r>
                  <w:r>
                    <w:rPr>
                      <w:spacing w:val="-9"/>
                    </w:rPr>
                    <w:t> </w:t>
                  </w:r>
                  <w:r>
                    <w:rPr/>
                    <w:t>District</w:t>
                  </w:r>
                </w:p>
                <w:p>
                  <w:pPr>
                    <w:pStyle w:val="BodyText"/>
                    <w:spacing w:line="227" w:lineRule="exact"/>
                    <w:ind w:left="238"/>
                  </w:pPr>
                  <w:r>
                    <w:rPr/>
                    <w:t>Attorney for possible prosecution.</w:t>
                  </w:r>
                </w:p>
              </w:txbxContent>
            </v:textbox>
            <v:stroke dashstyle="solid"/>
            <w10:wrap type="none"/>
          </v:shape>
        </w:pict>
      </w:r>
      <w:r>
        <w:rPr>
          <w:sz w:val="36"/>
          <w:u w:val="single"/>
        </w:rPr>
        <w:t>NMT’s PROCESS &amp; OPTIONS FOR STUDENTS &amp; EMPLOYEES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7"/>
        </w:rPr>
      </w:pPr>
    </w:p>
    <w:p>
      <w:pPr>
        <w:spacing w:line="235" w:lineRule="auto" w:before="97"/>
        <w:ind w:left="9004" w:right="214" w:hanging="1"/>
        <w:jc w:val="left"/>
        <w:rPr>
          <w:sz w:val="14"/>
        </w:rPr>
      </w:pPr>
      <w:r>
        <w:rPr/>
        <w:pict>
          <v:group style="position:absolute;margin-left:450pt;margin-top:-243.300232pt;width:144pt;height:235.6pt;mso-position-horizontal-relative:page;mso-position-vertical-relative:paragraph;z-index:1096" coordorigin="9000,-4866" coordsize="2880,4712">
            <v:shape style="position:absolute;left:9000;top:-4867;width:2880;height:4712" type="#_x0000_t75" stroked="false">
              <v:imagedata r:id="rId6" o:title=""/>
            </v:shape>
            <v:shape style="position:absolute;left:9000;top:-4867;width:2880;height:4712" type="#_x0000_t202" filled="false" stroked="false">
              <v:textbox inset="0,0,0,0">
                <w:txbxContent>
                  <w:p>
                    <w:pPr>
                      <w:spacing w:line="271" w:lineRule="auto" w:before="34"/>
                      <w:ind w:left="167" w:right="188" w:firstLine="455"/>
                      <w:jc w:val="left"/>
                      <w:rPr>
                        <w:sz w:val="28"/>
                      </w:rPr>
                    </w:pPr>
                    <w:r>
                      <w:rPr>
                        <w:sz w:val="28"/>
                      </w:rPr>
                      <w:t>IMPORTANT CONSIDERATIONS:</w:t>
                    </w:r>
                  </w:p>
                  <w:p>
                    <w:pPr>
                      <w:numPr>
                        <w:ilvl w:val="0"/>
                        <w:numId w:val="3"/>
                      </w:numPr>
                      <w:tabs>
                        <w:tab w:pos="418" w:val="left" w:leader="none"/>
                      </w:tabs>
                      <w:spacing w:line="240" w:lineRule="auto" w:before="0"/>
                      <w:ind w:left="417" w:right="275" w:hanging="192"/>
                      <w:jc w:val="left"/>
                      <w:rPr>
                        <w:sz w:val="23"/>
                      </w:rPr>
                    </w:pPr>
                    <w:r>
                      <w:rPr>
                        <w:color w:val="000080"/>
                        <w:sz w:val="23"/>
                      </w:rPr>
                      <w:t>Counseling is strongly encouraged in all</w:t>
                    </w:r>
                    <w:r>
                      <w:rPr>
                        <w:color w:val="000080"/>
                        <w:spacing w:val="-15"/>
                        <w:sz w:val="23"/>
                      </w:rPr>
                      <w:t> </w:t>
                    </w:r>
                    <w:r>
                      <w:rPr>
                        <w:color w:val="000080"/>
                        <w:sz w:val="23"/>
                      </w:rPr>
                      <w:t>cases.</w:t>
                    </w:r>
                  </w:p>
                  <w:p>
                    <w:pPr>
                      <w:numPr>
                        <w:ilvl w:val="0"/>
                        <w:numId w:val="3"/>
                      </w:numPr>
                      <w:tabs>
                        <w:tab w:pos="418" w:val="left" w:leader="none"/>
                      </w:tabs>
                      <w:spacing w:before="105"/>
                      <w:ind w:left="417" w:right="570" w:hanging="192"/>
                      <w:jc w:val="left"/>
                      <w:rPr>
                        <w:sz w:val="23"/>
                      </w:rPr>
                    </w:pPr>
                    <w:r>
                      <w:rPr>
                        <w:color w:val="000080"/>
                        <w:sz w:val="23"/>
                      </w:rPr>
                      <w:t>Medical treatment is recommended as appropriate.</w:t>
                    </w:r>
                  </w:p>
                  <w:p>
                    <w:pPr>
                      <w:numPr>
                        <w:ilvl w:val="0"/>
                        <w:numId w:val="3"/>
                      </w:numPr>
                      <w:tabs>
                        <w:tab w:pos="418" w:val="left" w:leader="none"/>
                      </w:tabs>
                      <w:spacing w:line="237" w:lineRule="auto" w:before="120"/>
                      <w:ind w:left="417" w:right="90" w:hanging="192"/>
                      <w:jc w:val="both"/>
                      <w:rPr>
                        <w:sz w:val="23"/>
                      </w:rPr>
                    </w:pPr>
                    <w:r>
                      <w:rPr>
                        <w:color w:val="000080"/>
                        <w:position w:val="1"/>
                        <w:sz w:val="23"/>
                      </w:rPr>
                      <w:t>Complainant may elect to</w:t>
                    </w:r>
                    <w:r>
                      <w:rPr>
                        <w:color w:val="000080"/>
                        <w:sz w:val="23"/>
                      </w:rPr>
                      <w:t> continue with the process or stop at any</w:t>
                    </w:r>
                    <w:r>
                      <w:rPr>
                        <w:color w:val="000080"/>
                        <w:spacing w:val="-6"/>
                        <w:sz w:val="23"/>
                      </w:rPr>
                      <w:t> </w:t>
                    </w:r>
                    <w:r>
                      <w:rPr>
                        <w:color w:val="000080"/>
                        <w:sz w:val="23"/>
                      </w:rPr>
                      <w:t>time.</w:t>
                    </w:r>
                  </w:p>
                  <w:p>
                    <w:pPr>
                      <w:numPr>
                        <w:ilvl w:val="0"/>
                        <w:numId w:val="3"/>
                      </w:numPr>
                      <w:tabs>
                        <w:tab w:pos="418" w:val="left" w:leader="none"/>
                      </w:tabs>
                      <w:spacing w:before="127"/>
                      <w:ind w:left="417" w:right="205" w:hanging="192"/>
                      <w:jc w:val="left"/>
                      <w:rPr>
                        <w:sz w:val="23"/>
                      </w:rPr>
                    </w:pPr>
                    <w:r>
                      <w:rPr>
                        <w:color w:val="000080"/>
                        <w:sz w:val="23"/>
                      </w:rPr>
                      <w:t>Complainant may choose not to participate in the process and instead decide to approach a</w:t>
                    </w:r>
                    <w:r>
                      <w:rPr>
                        <w:color w:val="000080"/>
                        <w:spacing w:val="-5"/>
                        <w:sz w:val="23"/>
                      </w:rPr>
                      <w:t> </w:t>
                    </w:r>
                    <w:r>
                      <w:rPr>
                        <w:color w:val="000080"/>
                        <w:sz w:val="23"/>
                      </w:rPr>
                      <w:t>counselor.</w:t>
                    </w:r>
                  </w:p>
                </w:txbxContent>
              </v:textbox>
              <w10:wrap type="none"/>
            </v:shape>
            <w10:wrap type="none"/>
          </v:group>
        </w:pict>
      </w:r>
      <w:r>
        <w:rPr/>
        <w:pict>
          <v:shape style="position:absolute;margin-left:237.960007pt;margin-top:-48.70023pt;width:209.4pt;height:222.2pt;mso-position-horizontal-relative:page;mso-position-vertical-relative:paragraph;z-index:1120" type="#_x0000_t202" filled="false" stroked="true" strokeweight=".72pt" strokecolor="#000080">
            <v:textbox inset="0,0,0,0">
              <w:txbxContent>
                <w:p>
                  <w:pPr>
                    <w:spacing w:line="319" w:lineRule="exact" w:before="0"/>
                    <w:ind w:left="58" w:right="0" w:firstLine="0"/>
                    <w:jc w:val="left"/>
                    <w:rPr>
                      <w:b/>
                      <w:sz w:val="28"/>
                    </w:rPr>
                  </w:pPr>
                  <w:r>
                    <w:rPr>
                      <w:b/>
                      <w:color w:val="000080"/>
                      <w:sz w:val="28"/>
                    </w:rPr>
                    <w:t>Option 4.</w:t>
                  </w:r>
                </w:p>
                <w:p>
                  <w:pPr>
                    <w:spacing w:before="0"/>
                    <w:ind w:left="58" w:right="681" w:firstLine="0"/>
                    <w:jc w:val="left"/>
                    <w:rPr>
                      <w:b/>
                      <w:sz w:val="20"/>
                    </w:rPr>
                  </w:pPr>
                  <w:r>
                    <w:rPr>
                      <w:b/>
                      <w:color w:val="000080"/>
                      <w:sz w:val="20"/>
                    </w:rPr>
                    <w:t>Report assault, but choose not to pursue charges at present time</w:t>
                  </w:r>
                </w:p>
                <w:p>
                  <w:pPr>
                    <w:pStyle w:val="BodyText"/>
                    <w:numPr>
                      <w:ilvl w:val="0"/>
                      <w:numId w:val="4"/>
                    </w:numPr>
                    <w:tabs>
                      <w:tab w:pos="239" w:val="left" w:leader="none"/>
                    </w:tabs>
                    <w:spacing w:line="240" w:lineRule="auto" w:before="0" w:after="0"/>
                    <w:ind w:left="238" w:right="556" w:hanging="180"/>
                    <w:jc w:val="left"/>
                  </w:pPr>
                  <w:r>
                    <w:rPr/>
                    <w:t>Reporting options and support will still be explained by the Title IX</w:t>
                  </w:r>
                  <w:r>
                    <w:rPr>
                      <w:spacing w:val="-10"/>
                    </w:rPr>
                    <w:t> </w:t>
                  </w:r>
                  <w:r>
                    <w:rPr/>
                    <w:t>Coordinator.</w:t>
                  </w:r>
                </w:p>
                <w:p>
                  <w:pPr>
                    <w:pStyle w:val="BodyText"/>
                    <w:numPr>
                      <w:ilvl w:val="0"/>
                      <w:numId w:val="4"/>
                    </w:numPr>
                    <w:tabs>
                      <w:tab w:pos="239" w:val="left" w:leader="none"/>
                    </w:tabs>
                    <w:spacing w:line="240" w:lineRule="auto" w:before="17" w:after="0"/>
                    <w:ind w:left="238" w:right="360" w:hanging="180"/>
                    <w:jc w:val="left"/>
                  </w:pPr>
                  <w:r>
                    <w:rPr/>
                    <w:t>A “no contact order” may be issued between complainants and suspect (if</w:t>
                  </w:r>
                  <w:r>
                    <w:rPr>
                      <w:spacing w:val="-5"/>
                    </w:rPr>
                    <w:t> </w:t>
                  </w:r>
                  <w:r>
                    <w:rPr/>
                    <w:t>known).</w:t>
                  </w:r>
                </w:p>
                <w:p>
                  <w:pPr>
                    <w:pStyle w:val="BodyText"/>
                    <w:numPr>
                      <w:ilvl w:val="0"/>
                      <w:numId w:val="4"/>
                    </w:numPr>
                    <w:tabs>
                      <w:tab w:pos="239" w:val="left" w:leader="none"/>
                    </w:tabs>
                    <w:spacing w:line="220" w:lineRule="auto" w:before="48" w:after="0"/>
                    <w:ind w:left="238" w:right="138" w:hanging="180"/>
                    <w:jc w:val="left"/>
                  </w:pPr>
                  <w:r>
                    <w:rPr/>
                    <w:t>Housing, classroom and other accommodations can be</w:t>
                  </w:r>
                  <w:r>
                    <w:rPr>
                      <w:spacing w:val="-3"/>
                    </w:rPr>
                    <w:t> </w:t>
                  </w:r>
                  <w:r>
                    <w:rPr/>
                    <w:t>provided.</w:t>
                  </w:r>
                </w:p>
                <w:p>
                  <w:pPr>
                    <w:numPr>
                      <w:ilvl w:val="0"/>
                      <w:numId w:val="4"/>
                    </w:numPr>
                    <w:tabs>
                      <w:tab w:pos="239" w:val="left" w:leader="none"/>
                    </w:tabs>
                    <w:spacing w:before="24"/>
                    <w:ind w:left="238" w:right="198" w:hanging="180"/>
                    <w:jc w:val="left"/>
                    <w:rPr>
                      <w:i/>
                      <w:sz w:val="20"/>
                    </w:rPr>
                  </w:pPr>
                  <w:r>
                    <w:rPr>
                      <w:sz w:val="20"/>
                    </w:rPr>
                    <w:t>Federally mandated notice may be sent to campus community by NMT Campus Police. </w:t>
                  </w:r>
                  <w:r>
                    <w:rPr>
                      <w:i/>
                      <w:sz w:val="20"/>
                    </w:rPr>
                    <w:t>Name(s) of complainant(s) won’t be</w:t>
                  </w:r>
                  <w:r>
                    <w:rPr>
                      <w:i/>
                      <w:spacing w:val="-16"/>
                      <w:sz w:val="20"/>
                    </w:rPr>
                    <w:t> </w:t>
                  </w:r>
                  <w:r>
                    <w:rPr>
                      <w:i/>
                      <w:sz w:val="20"/>
                    </w:rPr>
                    <w:t>disclosed.</w:t>
                  </w:r>
                </w:p>
                <w:p>
                  <w:pPr>
                    <w:pStyle w:val="BodyText"/>
                    <w:numPr>
                      <w:ilvl w:val="0"/>
                      <w:numId w:val="4"/>
                    </w:numPr>
                    <w:tabs>
                      <w:tab w:pos="239" w:val="left" w:leader="none"/>
                    </w:tabs>
                    <w:spacing w:line="259" w:lineRule="auto" w:before="18" w:after="0"/>
                    <w:ind w:left="238" w:right="125" w:hanging="179"/>
                    <w:jc w:val="left"/>
                  </w:pPr>
                  <w:r>
                    <w:rPr/>
                    <w:t>The stated time, date and location of the assault and any additional related crimes will be reported in Tech’s crime log and</w:t>
                  </w:r>
                  <w:r>
                    <w:rPr>
                      <w:spacing w:val="-21"/>
                    </w:rPr>
                    <w:t> </w:t>
                  </w:r>
                  <w:r>
                    <w:rPr/>
                    <w:t>statistic</w:t>
                  </w:r>
                </w:p>
                <w:p>
                  <w:pPr>
                    <w:pStyle w:val="BodyText"/>
                    <w:spacing w:line="213" w:lineRule="exact"/>
                    <w:ind w:left="239"/>
                  </w:pPr>
                  <w:r>
                    <w:rPr/>
                    <w:t>records as mandated by The Clery Act</w:t>
                  </w:r>
                  <w:r>
                    <w:rPr>
                      <w:color w:val="FF0000"/>
                    </w:rPr>
                    <w:t>*</w:t>
                  </w:r>
                  <w:r>
                    <w:rPr/>
                    <w:t>.</w:t>
                  </w:r>
                </w:p>
                <w:p>
                  <w:pPr>
                    <w:spacing w:before="41"/>
                    <w:ind w:left="239" w:right="0" w:firstLine="0"/>
                    <w:jc w:val="left"/>
                    <w:rPr>
                      <w:i/>
                      <w:sz w:val="20"/>
                    </w:rPr>
                  </w:pPr>
                  <w:r>
                    <w:rPr>
                      <w:i/>
                      <w:sz w:val="20"/>
                    </w:rPr>
                    <w:t>Complainant’s name will remain anonymous.</w:t>
                  </w:r>
                </w:p>
              </w:txbxContent>
            </v:textbox>
            <v:stroke dashstyle="solid"/>
            <w10:wrap type="none"/>
          </v:shape>
        </w:pict>
      </w:r>
      <w:r>
        <w:rPr/>
        <w:pict>
          <v:shape style="position:absolute;margin-left:237.960007pt;margin-top:-146.550232pt;width:206.95pt;height:87.3pt;mso-position-horizontal-relative:page;mso-position-vertical-relative:paragraph;z-index:1144" type="#_x0000_t202" filled="false" stroked="true" strokeweight=".78pt" strokecolor="#000080">
            <v:textbox inset="0,0,0,0">
              <w:txbxContent>
                <w:p>
                  <w:pPr>
                    <w:spacing w:line="320" w:lineRule="exact" w:before="0"/>
                    <w:ind w:left="58" w:right="0" w:firstLine="0"/>
                    <w:jc w:val="left"/>
                    <w:rPr>
                      <w:b/>
                      <w:sz w:val="28"/>
                    </w:rPr>
                  </w:pPr>
                  <w:r>
                    <w:rPr>
                      <w:b/>
                      <w:color w:val="000080"/>
                      <w:sz w:val="28"/>
                    </w:rPr>
                    <w:t>Option 3.</w:t>
                  </w:r>
                </w:p>
                <w:p>
                  <w:pPr>
                    <w:spacing w:line="229" w:lineRule="exact" w:before="0"/>
                    <w:ind w:left="58" w:right="0" w:firstLine="0"/>
                    <w:jc w:val="left"/>
                    <w:rPr>
                      <w:b/>
                      <w:sz w:val="20"/>
                    </w:rPr>
                  </w:pPr>
                  <w:r>
                    <w:rPr>
                      <w:b/>
                      <w:color w:val="000080"/>
                      <w:sz w:val="20"/>
                    </w:rPr>
                    <w:t>Pursue both internal and criminal charges</w:t>
                  </w:r>
                </w:p>
                <w:p>
                  <w:pPr>
                    <w:pStyle w:val="BodyText"/>
                    <w:numPr>
                      <w:ilvl w:val="0"/>
                      <w:numId w:val="5"/>
                    </w:numPr>
                    <w:tabs>
                      <w:tab w:pos="239" w:val="left" w:leader="none"/>
                    </w:tabs>
                    <w:spacing w:line="240" w:lineRule="auto" w:before="16" w:after="0"/>
                    <w:ind w:left="238" w:right="853" w:hanging="180"/>
                    <w:jc w:val="left"/>
                  </w:pPr>
                  <w:r>
                    <w:rPr/>
                    <w:t>Process outline in Option 1 &amp; 2 occur simultaneously.</w:t>
                  </w:r>
                </w:p>
                <w:p>
                  <w:pPr>
                    <w:pStyle w:val="BodyText"/>
                    <w:numPr>
                      <w:ilvl w:val="0"/>
                      <w:numId w:val="5"/>
                    </w:numPr>
                    <w:tabs>
                      <w:tab w:pos="239" w:val="left" w:leader="none"/>
                    </w:tabs>
                    <w:spacing w:line="242" w:lineRule="auto" w:before="1" w:after="0"/>
                    <w:ind w:left="238" w:right="348" w:hanging="180"/>
                    <w:jc w:val="left"/>
                  </w:pPr>
                  <w:r>
                    <w:rPr/>
                    <w:t>Internal University judicial and criminal adjudication processes occur</w:t>
                  </w:r>
                  <w:r>
                    <w:rPr>
                      <w:spacing w:val="-13"/>
                    </w:rPr>
                    <w:t> </w:t>
                  </w:r>
                  <w:r>
                    <w:rPr/>
                    <w:t>independently.</w:t>
                  </w:r>
                </w:p>
              </w:txbxContent>
            </v:textbox>
            <v:stroke dashstyle="solid"/>
            <w10:wrap type="none"/>
          </v:shape>
        </w:pict>
      </w:r>
      <w:r>
        <w:rPr/>
        <w:pict>
          <v:shape style="position:absolute;margin-left:12.96pt;margin-top:-249.881332pt;width:217.8pt;height:455.45pt;mso-position-horizontal-relative:page;mso-position-vertical-relative:paragraph;z-index:1168" type="#_x0000_t202" filled="false" stroked="true" strokeweight=".72pt" strokecolor="#000080">
            <v:textbox inset="0,0,0,0">
              <w:txbxContent>
                <w:p>
                  <w:pPr>
                    <w:spacing w:line="309" w:lineRule="exact" w:before="0"/>
                    <w:ind w:left="58" w:right="0" w:firstLine="0"/>
                    <w:jc w:val="left"/>
                    <w:rPr>
                      <w:b/>
                      <w:sz w:val="28"/>
                    </w:rPr>
                  </w:pPr>
                  <w:r>
                    <w:rPr>
                      <w:b/>
                      <w:color w:val="000080"/>
                      <w:sz w:val="28"/>
                    </w:rPr>
                    <w:t>Option 1.</w:t>
                  </w:r>
                </w:p>
                <w:p>
                  <w:pPr>
                    <w:spacing w:line="218" w:lineRule="exact" w:before="0"/>
                    <w:ind w:left="58" w:right="0" w:firstLine="0"/>
                    <w:jc w:val="left"/>
                    <w:rPr>
                      <w:b/>
                      <w:sz w:val="20"/>
                    </w:rPr>
                  </w:pPr>
                  <w:r>
                    <w:rPr>
                      <w:b/>
                      <w:color w:val="000080"/>
                      <w:sz w:val="20"/>
                    </w:rPr>
                    <w:t>Pursue internal (University) disciplinary action.</w:t>
                  </w:r>
                </w:p>
                <w:p>
                  <w:pPr>
                    <w:pStyle w:val="BodyText"/>
                    <w:numPr>
                      <w:ilvl w:val="0"/>
                      <w:numId w:val="6"/>
                    </w:numPr>
                    <w:tabs>
                      <w:tab w:pos="239" w:val="left" w:leader="none"/>
                    </w:tabs>
                    <w:spacing w:line="240" w:lineRule="auto" w:before="0" w:after="0"/>
                    <w:ind w:left="238" w:right="256" w:hanging="179"/>
                    <w:jc w:val="left"/>
                  </w:pPr>
                  <w:r>
                    <w:rPr/>
                    <w:t>Reporting options and support will be explained by the Title IX Coordinator</w:t>
                  </w:r>
                  <w:r>
                    <w:rPr>
                      <w:spacing w:val="-6"/>
                    </w:rPr>
                    <w:t> </w:t>
                  </w:r>
                  <w:r>
                    <w:rPr/>
                    <w:t>(T9C).</w:t>
                  </w:r>
                </w:p>
                <w:p>
                  <w:pPr>
                    <w:pStyle w:val="BodyText"/>
                    <w:numPr>
                      <w:ilvl w:val="0"/>
                      <w:numId w:val="6"/>
                    </w:numPr>
                    <w:tabs>
                      <w:tab w:pos="239" w:val="left" w:leader="none"/>
                    </w:tabs>
                    <w:spacing w:line="240" w:lineRule="auto" w:before="19" w:after="0"/>
                    <w:ind w:left="238" w:right="169" w:hanging="180"/>
                    <w:jc w:val="left"/>
                  </w:pPr>
                  <w:r>
                    <w:rPr/>
                    <w:t>Legal options can be explained in detail by NMT Campus</w:t>
                  </w:r>
                  <w:r>
                    <w:rPr>
                      <w:spacing w:val="-1"/>
                    </w:rPr>
                    <w:t> </w:t>
                  </w:r>
                  <w:r>
                    <w:rPr/>
                    <w:t>Police.</w:t>
                  </w:r>
                </w:p>
                <w:p>
                  <w:pPr>
                    <w:pStyle w:val="BodyText"/>
                    <w:numPr>
                      <w:ilvl w:val="0"/>
                      <w:numId w:val="6"/>
                    </w:numPr>
                    <w:tabs>
                      <w:tab w:pos="241" w:val="left" w:leader="none"/>
                    </w:tabs>
                    <w:spacing w:line="235" w:lineRule="auto" w:before="23" w:after="0"/>
                    <w:ind w:left="240" w:right="52" w:hanging="182"/>
                    <w:jc w:val="left"/>
                  </w:pPr>
                  <w:r>
                    <w:rPr/>
                    <w:t>The VPSU, DGS and the T9C will explain NMT’s student conduct process, options and</w:t>
                  </w:r>
                  <w:r>
                    <w:rPr>
                      <w:spacing w:val="-11"/>
                    </w:rPr>
                    <w:t> </w:t>
                  </w:r>
                  <w:r>
                    <w:rPr/>
                    <w:t>support.</w:t>
                  </w:r>
                </w:p>
                <w:p>
                  <w:pPr>
                    <w:pStyle w:val="BodyText"/>
                    <w:numPr>
                      <w:ilvl w:val="0"/>
                      <w:numId w:val="6"/>
                    </w:numPr>
                    <w:tabs>
                      <w:tab w:pos="247" w:val="left" w:leader="none"/>
                    </w:tabs>
                    <w:spacing w:line="237" w:lineRule="auto" w:before="27" w:after="0"/>
                    <w:ind w:left="246" w:right="263" w:hanging="187"/>
                    <w:jc w:val="left"/>
                  </w:pPr>
                  <w:r>
                    <w:rPr>
                      <w:position w:val="1"/>
                    </w:rPr>
                    <w:t>The DHR, Affirmative Action/Equal</w:t>
                  </w:r>
                  <w:r>
                    <w:rPr/>
                    <w:t> Employment Opportunity Commission (AA/EE OC ) and T9C Coordinator will explain NMT’s employee conduct process, options and</w:t>
                  </w:r>
                  <w:r>
                    <w:rPr>
                      <w:spacing w:val="-29"/>
                    </w:rPr>
                    <w:t> </w:t>
                  </w:r>
                  <w:r>
                    <w:rPr/>
                    <w:t>support.</w:t>
                  </w:r>
                </w:p>
                <w:p>
                  <w:pPr>
                    <w:pStyle w:val="BodyText"/>
                    <w:numPr>
                      <w:ilvl w:val="0"/>
                      <w:numId w:val="6"/>
                    </w:numPr>
                    <w:tabs>
                      <w:tab w:pos="240" w:val="left" w:leader="none"/>
                    </w:tabs>
                    <w:spacing w:line="274" w:lineRule="exact" w:before="0" w:after="0"/>
                    <w:ind w:left="239" w:right="0" w:hanging="180"/>
                    <w:jc w:val="left"/>
                  </w:pPr>
                  <w:r>
                    <w:rPr/>
                    <w:t>Federally mandated notice may be sent to</w:t>
                  </w:r>
                  <w:r>
                    <w:rPr>
                      <w:spacing w:val="-15"/>
                    </w:rPr>
                    <w:t> </w:t>
                  </w:r>
                  <w:r>
                    <w:rPr/>
                    <w:t>campus</w:t>
                  </w:r>
                </w:p>
                <w:p>
                  <w:pPr>
                    <w:spacing w:before="1"/>
                    <w:ind w:left="239" w:right="597" w:firstLine="0"/>
                    <w:jc w:val="left"/>
                    <w:rPr>
                      <w:i/>
                      <w:sz w:val="20"/>
                    </w:rPr>
                  </w:pPr>
                  <w:r>
                    <w:rPr>
                      <w:sz w:val="20"/>
                    </w:rPr>
                    <w:t>community by Campus Police.</w:t>
                  </w:r>
                  <w:r>
                    <w:rPr>
                      <w:color w:val="FF0000"/>
                      <w:sz w:val="20"/>
                    </w:rPr>
                    <w:t>* </w:t>
                  </w:r>
                  <w:r>
                    <w:rPr>
                      <w:i/>
                      <w:sz w:val="20"/>
                    </w:rPr>
                    <w:t>Name(s) of </w:t>
                  </w:r>
                  <w:r>
                    <w:rPr>
                      <w:i/>
                      <w:sz w:val="20"/>
                    </w:rPr>
                    <w:t>complainant(s) won’t be disclosed.</w:t>
                  </w:r>
                </w:p>
                <w:p>
                  <w:pPr>
                    <w:pStyle w:val="BodyText"/>
                    <w:numPr>
                      <w:ilvl w:val="0"/>
                      <w:numId w:val="6"/>
                    </w:numPr>
                    <w:tabs>
                      <w:tab w:pos="248" w:val="left" w:leader="none"/>
                    </w:tabs>
                    <w:spacing w:line="240" w:lineRule="auto" w:before="27" w:after="0"/>
                    <w:ind w:left="247" w:right="0" w:hanging="188"/>
                    <w:jc w:val="left"/>
                  </w:pPr>
                  <w:r>
                    <w:rPr/>
                    <w:t>Physical evidence can be collected by</w:t>
                  </w:r>
                  <w:r>
                    <w:rPr>
                      <w:spacing w:val="-12"/>
                    </w:rPr>
                    <w:t> </w:t>
                  </w:r>
                  <w:r>
                    <w:rPr/>
                    <w:t>police.</w:t>
                  </w:r>
                </w:p>
                <w:p>
                  <w:pPr>
                    <w:pStyle w:val="BodyText"/>
                    <w:numPr>
                      <w:ilvl w:val="0"/>
                      <w:numId w:val="6"/>
                    </w:numPr>
                    <w:tabs>
                      <w:tab w:pos="251" w:val="left" w:leader="none"/>
                    </w:tabs>
                    <w:spacing w:line="240" w:lineRule="auto" w:before="14" w:after="0"/>
                    <w:ind w:left="250" w:right="379" w:hanging="191"/>
                    <w:jc w:val="left"/>
                  </w:pPr>
                  <w:r>
                    <w:rPr/>
                    <w:t>All relevant witnesses can be interviewed by police and Title IX Coordinator or</w:t>
                  </w:r>
                  <w:r>
                    <w:rPr>
                      <w:spacing w:val="-23"/>
                    </w:rPr>
                    <w:t> </w:t>
                  </w:r>
                  <w:r>
                    <w:rPr/>
                    <w:t>AA/EEOC.</w:t>
                  </w:r>
                </w:p>
                <w:p>
                  <w:pPr>
                    <w:pStyle w:val="BodyText"/>
                    <w:numPr>
                      <w:ilvl w:val="0"/>
                      <w:numId w:val="6"/>
                    </w:numPr>
                    <w:tabs>
                      <w:tab w:pos="240" w:val="left" w:leader="none"/>
                    </w:tabs>
                    <w:spacing w:line="240" w:lineRule="auto" w:before="10" w:after="0"/>
                    <w:ind w:left="239" w:right="489" w:hanging="180"/>
                    <w:jc w:val="left"/>
                  </w:pPr>
                  <w:r>
                    <w:rPr/>
                    <w:t>Investigation can take several days to several weeks, based on</w:t>
                  </w:r>
                  <w:r>
                    <w:rPr>
                      <w:spacing w:val="-3"/>
                    </w:rPr>
                    <w:t> </w:t>
                  </w:r>
                  <w:r>
                    <w:rPr/>
                    <w:t>circumstances.</w:t>
                  </w:r>
                </w:p>
                <w:p>
                  <w:pPr>
                    <w:pStyle w:val="BodyText"/>
                    <w:numPr>
                      <w:ilvl w:val="0"/>
                      <w:numId w:val="6"/>
                    </w:numPr>
                    <w:tabs>
                      <w:tab w:pos="240" w:val="left" w:leader="none"/>
                    </w:tabs>
                    <w:spacing w:line="235" w:lineRule="auto" w:before="34" w:after="0"/>
                    <w:ind w:left="239" w:right="164" w:hanging="180"/>
                    <w:jc w:val="left"/>
                  </w:pPr>
                  <w:r>
                    <w:rPr>
                      <w:position w:val="2"/>
                    </w:rPr>
                    <w:t>Upon completion of the investigation, reports are</w:t>
                  </w:r>
                  <w:r>
                    <w:rPr/>
                    <w:t> forwarded to the VPSUR or DGS for students or DHR for staff or AVP for Academic Affairs for employees employees for follow-up and possible adjudication.</w:t>
                  </w:r>
                </w:p>
                <w:p>
                  <w:pPr>
                    <w:pStyle w:val="BodyText"/>
                    <w:numPr>
                      <w:ilvl w:val="0"/>
                      <w:numId w:val="6"/>
                    </w:numPr>
                    <w:tabs>
                      <w:tab w:pos="240" w:val="left" w:leader="none"/>
                    </w:tabs>
                    <w:spacing w:line="240" w:lineRule="auto" w:before="28" w:after="0"/>
                    <w:ind w:left="239" w:right="312" w:hanging="180"/>
                    <w:jc w:val="left"/>
                  </w:pPr>
                  <w:r>
                    <w:rPr/>
                    <w:t>Victims, suspects, and witnesses are notified of any University</w:t>
                  </w:r>
                  <w:r>
                    <w:rPr>
                      <w:spacing w:val="-1"/>
                    </w:rPr>
                    <w:t> </w:t>
                  </w:r>
                  <w:r>
                    <w:rPr/>
                    <w:t>adjudication.</w:t>
                  </w:r>
                </w:p>
                <w:p>
                  <w:pPr>
                    <w:pStyle w:val="BodyText"/>
                    <w:numPr>
                      <w:ilvl w:val="0"/>
                      <w:numId w:val="6"/>
                    </w:numPr>
                    <w:tabs>
                      <w:tab w:pos="240" w:val="left" w:leader="none"/>
                    </w:tabs>
                    <w:spacing w:line="240" w:lineRule="auto" w:before="19" w:after="0"/>
                    <w:ind w:left="239" w:right="68" w:hanging="180"/>
                    <w:jc w:val="left"/>
                  </w:pPr>
                  <w:r>
                    <w:rPr/>
                    <w:t>Complainants and respondents are equally entitled to have 1 advisor present during any University disciplinary</w:t>
                  </w:r>
                  <w:r>
                    <w:rPr>
                      <w:spacing w:val="-3"/>
                    </w:rPr>
                    <w:t> </w:t>
                  </w:r>
                  <w:r>
                    <w:rPr/>
                    <w:t>proceeding.</w:t>
                  </w:r>
                </w:p>
                <w:p>
                  <w:pPr>
                    <w:pStyle w:val="BodyText"/>
                    <w:numPr>
                      <w:ilvl w:val="0"/>
                      <w:numId w:val="6"/>
                    </w:numPr>
                    <w:tabs>
                      <w:tab w:pos="240" w:val="left" w:leader="none"/>
                    </w:tabs>
                    <w:spacing w:line="235" w:lineRule="auto" w:before="38" w:after="0"/>
                    <w:ind w:left="239" w:right="150" w:hanging="180"/>
                    <w:jc w:val="left"/>
                  </w:pPr>
                  <w:r>
                    <w:rPr>
                      <w:position w:val="2"/>
                    </w:rPr>
                    <w:t>Both the complainant and the respondent shall be</w:t>
                  </w:r>
                  <w:r>
                    <w:rPr/>
                    <w:t> informed of the outcome of any institutional disciplinary proceeding brought alleging sexual misconduct or gender-based</w:t>
                  </w:r>
                  <w:r>
                    <w:rPr>
                      <w:spacing w:val="-3"/>
                    </w:rPr>
                    <w:t> </w:t>
                  </w:r>
                  <w:r>
                    <w:rPr/>
                    <w:t>discrimination.</w:t>
                  </w:r>
                </w:p>
                <w:p>
                  <w:pPr>
                    <w:pStyle w:val="BodyText"/>
                    <w:numPr>
                      <w:ilvl w:val="0"/>
                      <w:numId w:val="6"/>
                    </w:numPr>
                    <w:tabs>
                      <w:tab w:pos="225" w:val="left" w:leader="none"/>
                    </w:tabs>
                    <w:spacing w:line="240" w:lineRule="auto" w:before="21" w:after="0"/>
                    <w:ind w:left="224" w:right="321" w:hanging="166"/>
                    <w:jc w:val="left"/>
                  </w:pPr>
                  <w:r>
                    <w:rPr/>
                    <w:t>If either party disagrees with the finding of this initial informal process, they have a right to a formal hearing and one appeal if</w:t>
                  </w:r>
                  <w:r>
                    <w:rPr>
                      <w:spacing w:val="1"/>
                    </w:rPr>
                    <w:t> </w:t>
                  </w:r>
                  <w:r>
                    <w:rPr/>
                    <w:t>needed.</w:t>
                  </w:r>
                </w:p>
              </w:txbxContent>
            </v:textbox>
            <v:stroke dashstyle="solid"/>
            <w10:wrap type="none"/>
          </v:shape>
        </w:pict>
      </w:r>
      <w:r>
        <w:rPr>
          <w:color w:val="FF0000"/>
          <w:position w:val="-7"/>
          <w:sz w:val="22"/>
        </w:rPr>
        <w:t>*</w:t>
      </w:r>
      <w:r>
        <w:rPr>
          <w:b/>
          <w:sz w:val="14"/>
        </w:rPr>
        <w:t>The Jeanne Clery Disclosure of Campus </w:t>
      </w:r>
      <w:r>
        <w:rPr>
          <w:sz w:val="14"/>
        </w:rPr>
        <w:t>Security Policy and Campus Crime Statistics Act, commonly referred to as the Clery Act, requires higher education institutions to collect, report and disseminate crime data to the campus community and U.S. Department of Education; to provide warnings of reported crimes that represent a threat to the safety of students or</w:t>
      </w:r>
    </w:p>
    <w:p>
      <w:pPr>
        <w:spacing w:before="4" w:after="6"/>
        <w:ind w:left="9004" w:right="305" w:firstLine="0"/>
        <w:jc w:val="both"/>
        <w:rPr>
          <w:sz w:val="14"/>
        </w:rPr>
      </w:pPr>
      <w:r>
        <w:rPr>
          <w:sz w:val="14"/>
        </w:rPr>
        <w:t>employees "in a manner that is timely and will aid in the prevention of similar crimes"; and to make public their campus security policies and</w:t>
      </w:r>
    </w:p>
    <w:p>
      <w:pPr>
        <w:pStyle w:val="BodyText"/>
        <w:spacing w:line="155" w:lineRule="exact"/>
        <w:ind w:left="9004"/>
        <w:rPr>
          <w:sz w:val="15"/>
        </w:rPr>
      </w:pPr>
      <w:r>
        <w:rPr>
          <w:position w:val="-2"/>
          <w:sz w:val="15"/>
        </w:rPr>
        <w:pict>
          <v:shape style="width:32.6pt;height:7.8pt;mso-position-horizontal-relative:char;mso-position-vertical-relative:line" type="#_x0000_t202" filled="false" stroked="false">
            <w10:anchorlock/>
            <v:textbox inset="0,0,0,0">
              <w:txbxContent>
                <w:p>
                  <w:pPr>
                    <w:spacing w:line="155" w:lineRule="exact" w:before="0"/>
                    <w:ind w:left="0" w:right="0" w:firstLine="0"/>
                    <w:jc w:val="left"/>
                    <w:rPr>
                      <w:sz w:val="14"/>
                    </w:rPr>
                  </w:pPr>
                  <w:r>
                    <w:rPr>
                      <w:sz w:val="14"/>
                    </w:rPr>
                    <w:t>procedures.</w:t>
                  </w:r>
                </w:p>
              </w:txbxContent>
            </v:textbox>
          </v:shape>
        </w:pict>
      </w:r>
      <w:r>
        <w:rPr>
          <w:position w:val="-2"/>
          <w:sz w:val="15"/>
        </w:rPr>
      </w:r>
    </w:p>
    <w:p>
      <w:pPr>
        <w:spacing w:line="240" w:lineRule="auto" w:before="40"/>
        <w:ind w:left="9004" w:right="164" w:firstLine="179"/>
        <w:jc w:val="left"/>
        <w:rPr>
          <w:sz w:val="14"/>
        </w:rPr>
      </w:pPr>
      <w:r>
        <w:rPr>
          <w:sz w:val="14"/>
        </w:rPr>
        <w:t>Crime Alerts are usually posted for the following crimes: arson, aggravated assault, homicide, robbery, and sex offenses. Crime alerts may also be posted for other classifications as deemed necessary. Crime Alerts are posted through electronic mail and the posting of bulletins at various locations on campus when a crime has occurred and there is a possibility that an outstanding suspect could pose a danger to the campus</w:t>
      </w:r>
      <w:r>
        <w:rPr>
          <w:spacing w:val="-1"/>
          <w:sz w:val="14"/>
        </w:rPr>
        <w:t> </w:t>
      </w:r>
      <w:r>
        <w:rPr>
          <w:sz w:val="14"/>
        </w:rPr>
        <w:t>community.</w:t>
      </w:r>
    </w:p>
    <w:sectPr>
      <w:type w:val="continuous"/>
      <w:pgSz w:w="12240" w:h="15840"/>
      <w:pgMar w:top="560" w:bottom="0" w:left="14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38" w:hanging="180"/>
      </w:pPr>
      <w:rPr>
        <w:rFonts w:hint="default" w:ascii="Symbol" w:hAnsi="Symbol" w:eastAsia="Symbol" w:cs="Symbol"/>
        <w:w w:val="100"/>
        <w:position w:val="2"/>
        <w:sz w:val="20"/>
        <w:szCs w:val="20"/>
      </w:rPr>
    </w:lvl>
    <w:lvl w:ilvl="1">
      <w:start w:val="0"/>
      <w:numFmt w:val="bullet"/>
      <w:lvlText w:val="•"/>
      <w:lvlJc w:val="left"/>
      <w:pPr>
        <w:ind w:left="626" w:hanging="180"/>
      </w:pPr>
      <w:rPr>
        <w:rFonts w:hint="default"/>
      </w:rPr>
    </w:lvl>
    <w:lvl w:ilvl="2">
      <w:start w:val="0"/>
      <w:numFmt w:val="bullet"/>
      <w:lvlText w:val="•"/>
      <w:lvlJc w:val="left"/>
      <w:pPr>
        <w:ind w:left="1013" w:hanging="180"/>
      </w:pPr>
      <w:rPr>
        <w:rFonts w:hint="default"/>
      </w:rPr>
    </w:lvl>
    <w:lvl w:ilvl="3">
      <w:start w:val="0"/>
      <w:numFmt w:val="bullet"/>
      <w:lvlText w:val="•"/>
      <w:lvlJc w:val="left"/>
      <w:pPr>
        <w:ind w:left="1400" w:hanging="180"/>
      </w:pPr>
      <w:rPr>
        <w:rFonts w:hint="default"/>
      </w:rPr>
    </w:lvl>
    <w:lvl w:ilvl="4">
      <w:start w:val="0"/>
      <w:numFmt w:val="bullet"/>
      <w:lvlText w:val="•"/>
      <w:lvlJc w:val="left"/>
      <w:pPr>
        <w:ind w:left="1787" w:hanging="180"/>
      </w:pPr>
      <w:rPr>
        <w:rFonts w:hint="default"/>
      </w:rPr>
    </w:lvl>
    <w:lvl w:ilvl="5">
      <w:start w:val="0"/>
      <w:numFmt w:val="bullet"/>
      <w:lvlText w:val="•"/>
      <w:lvlJc w:val="left"/>
      <w:pPr>
        <w:ind w:left="2174" w:hanging="180"/>
      </w:pPr>
      <w:rPr>
        <w:rFonts w:hint="default"/>
      </w:rPr>
    </w:lvl>
    <w:lvl w:ilvl="6">
      <w:start w:val="0"/>
      <w:numFmt w:val="bullet"/>
      <w:lvlText w:val="•"/>
      <w:lvlJc w:val="left"/>
      <w:pPr>
        <w:ind w:left="2561" w:hanging="180"/>
      </w:pPr>
      <w:rPr>
        <w:rFonts w:hint="default"/>
      </w:rPr>
    </w:lvl>
    <w:lvl w:ilvl="7">
      <w:start w:val="0"/>
      <w:numFmt w:val="bullet"/>
      <w:lvlText w:val="•"/>
      <w:lvlJc w:val="left"/>
      <w:pPr>
        <w:ind w:left="2948" w:hanging="180"/>
      </w:pPr>
      <w:rPr>
        <w:rFonts w:hint="default"/>
      </w:rPr>
    </w:lvl>
    <w:lvl w:ilvl="8">
      <w:start w:val="0"/>
      <w:numFmt w:val="bullet"/>
      <w:lvlText w:val="•"/>
      <w:lvlJc w:val="left"/>
      <w:pPr>
        <w:ind w:left="3335" w:hanging="180"/>
      </w:pPr>
      <w:rPr>
        <w:rFonts w:hint="default"/>
      </w:rPr>
    </w:lvl>
  </w:abstractNum>
  <w:abstractNum w:abstractNumId="5">
    <w:multiLevelType w:val="hybridMultilevel"/>
    <w:lvl w:ilvl="0">
      <w:start w:val="0"/>
      <w:numFmt w:val="bullet"/>
      <w:lvlText w:val=""/>
      <w:lvlJc w:val="left"/>
      <w:pPr>
        <w:ind w:left="238" w:hanging="180"/>
      </w:pPr>
      <w:rPr>
        <w:rFonts w:hint="default" w:ascii="Symbol" w:hAnsi="Symbol" w:eastAsia="Symbol" w:cs="Symbol"/>
        <w:w w:val="100"/>
        <w:position w:val="2"/>
        <w:sz w:val="20"/>
        <w:szCs w:val="20"/>
      </w:rPr>
    </w:lvl>
    <w:lvl w:ilvl="1">
      <w:start w:val="0"/>
      <w:numFmt w:val="bullet"/>
      <w:lvlText w:val="•"/>
      <w:lvlJc w:val="left"/>
      <w:pPr>
        <w:ind w:left="650" w:hanging="180"/>
      </w:pPr>
      <w:rPr>
        <w:rFonts w:hint="default"/>
      </w:rPr>
    </w:lvl>
    <w:lvl w:ilvl="2">
      <w:start w:val="0"/>
      <w:numFmt w:val="bullet"/>
      <w:lvlText w:val="•"/>
      <w:lvlJc w:val="left"/>
      <w:pPr>
        <w:ind w:left="1060" w:hanging="180"/>
      </w:pPr>
      <w:rPr>
        <w:rFonts w:hint="default"/>
      </w:rPr>
    </w:lvl>
    <w:lvl w:ilvl="3">
      <w:start w:val="0"/>
      <w:numFmt w:val="bullet"/>
      <w:lvlText w:val="•"/>
      <w:lvlJc w:val="left"/>
      <w:pPr>
        <w:ind w:left="1470" w:hanging="180"/>
      </w:pPr>
      <w:rPr>
        <w:rFonts w:hint="default"/>
      </w:rPr>
    </w:lvl>
    <w:lvl w:ilvl="4">
      <w:start w:val="0"/>
      <w:numFmt w:val="bullet"/>
      <w:lvlText w:val="•"/>
      <w:lvlJc w:val="left"/>
      <w:pPr>
        <w:ind w:left="1880" w:hanging="180"/>
      </w:pPr>
      <w:rPr>
        <w:rFonts w:hint="default"/>
      </w:rPr>
    </w:lvl>
    <w:lvl w:ilvl="5">
      <w:start w:val="0"/>
      <w:numFmt w:val="bullet"/>
      <w:lvlText w:val="•"/>
      <w:lvlJc w:val="left"/>
      <w:pPr>
        <w:ind w:left="2290" w:hanging="180"/>
      </w:pPr>
      <w:rPr>
        <w:rFonts w:hint="default"/>
      </w:rPr>
    </w:lvl>
    <w:lvl w:ilvl="6">
      <w:start w:val="0"/>
      <w:numFmt w:val="bullet"/>
      <w:lvlText w:val="•"/>
      <w:lvlJc w:val="left"/>
      <w:pPr>
        <w:ind w:left="2700" w:hanging="180"/>
      </w:pPr>
      <w:rPr>
        <w:rFonts w:hint="default"/>
      </w:rPr>
    </w:lvl>
    <w:lvl w:ilvl="7">
      <w:start w:val="0"/>
      <w:numFmt w:val="bullet"/>
      <w:lvlText w:val="•"/>
      <w:lvlJc w:val="left"/>
      <w:pPr>
        <w:ind w:left="3111" w:hanging="180"/>
      </w:pPr>
      <w:rPr>
        <w:rFonts w:hint="default"/>
      </w:rPr>
    </w:lvl>
    <w:lvl w:ilvl="8">
      <w:start w:val="0"/>
      <w:numFmt w:val="bullet"/>
      <w:lvlText w:val="•"/>
      <w:lvlJc w:val="left"/>
      <w:pPr>
        <w:ind w:left="3521" w:hanging="180"/>
      </w:pPr>
      <w:rPr>
        <w:rFonts w:hint="default"/>
      </w:rPr>
    </w:lvl>
  </w:abstractNum>
  <w:abstractNum w:abstractNumId="4">
    <w:multiLevelType w:val="hybridMultilevel"/>
    <w:lvl w:ilvl="0">
      <w:start w:val="0"/>
      <w:numFmt w:val="bullet"/>
      <w:lvlText w:val=""/>
      <w:lvlJc w:val="left"/>
      <w:pPr>
        <w:ind w:left="238" w:hanging="180"/>
      </w:pPr>
      <w:rPr>
        <w:rFonts w:hint="default" w:ascii="Symbol" w:hAnsi="Symbol" w:eastAsia="Symbol" w:cs="Symbol"/>
        <w:w w:val="100"/>
        <w:sz w:val="20"/>
        <w:szCs w:val="20"/>
      </w:rPr>
    </w:lvl>
    <w:lvl w:ilvl="1">
      <w:start w:val="0"/>
      <w:numFmt w:val="bullet"/>
      <w:lvlText w:val="•"/>
      <w:lvlJc w:val="left"/>
      <w:pPr>
        <w:ind w:left="628" w:hanging="180"/>
      </w:pPr>
      <w:rPr>
        <w:rFonts w:hint="default"/>
      </w:rPr>
    </w:lvl>
    <w:lvl w:ilvl="2">
      <w:start w:val="0"/>
      <w:numFmt w:val="bullet"/>
      <w:lvlText w:val="•"/>
      <w:lvlJc w:val="left"/>
      <w:pPr>
        <w:ind w:left="1016" w:hanging="180"/>
      </w:pPr>
      <w:rPr>
        <w:rFonts w:hint="default"/>
      </w:rPr>
    </w:lvl>
    <w:lvl w:ilvl="3">
      <w:start w:val="0"/>
      <w:numFmt w:val="bullet"/>
      <w:lvlText w:val="•"/>
      <w:lvlJc w:val="left"/>
      <w:pPr>
        <w:ind w:left="1404" w:hanging="180"/>
      </w:pPr>
      <w:rPr>
        <w:rFonts w:hint="default"/>
      </w:rPr>
    </w:lvl>
    <w:lvl w:ilvl="4">
      <w:start w:val="0"/>
      <w:numFmt w:val="bullet"/>
      <w:lvlText w:val="•"/>
      <w:lvlJc w:val="left"/>
      <w:pPr>
        <w:ind w:left="1793" w:hanging="180"/>
      </w:pPr>
      <w:rPr>
        <w:rFonts w:hint="default"/>
      </w:rPr>
    </w:lvl>
    <w:lvl w:ilvl="5">
      <w:start w:val="0"/>
      <w:numFmt w:val="bullet"/>
      <w:lvlText w:val="•"/>
      <w:lvlJc w:val="left"/>
      <w:pPr>
        <w:ind w:left="2181" w:hanging="180"/>
      </w:pPr>
      <w:rPr>
        <w:rFonts w:hint="default"/>
      </w:rPr>
    </w:lvl>
    <w:lvl w:ilvl="6">
      <w:start w:val="0"/>
      <w:numFmt w:val="bullet"/>
      <w:lvlText w:val="•"/>
      <w:lvlJc w:val="left"/>
      <w:pPr>
        <w:ind w:left="2569" w:hanging="180"/>
      </w:pPr>
      <w:rPr>
        <w:rFonts w:hint="default"/>
      </w:rPr>
    </w:lvl>
    <w:lvl w:ilvl="7">
      <w:start w:val="0"/>
      <w:numFmt w:val="bullet"/>
      <w:lvlText w:val="•"/>
      <w:lvlJc w:val="left"/>
      <w:pPr>
        <w:ind w:left="2957" w:hanging="180"/>
      </w:pPr>
      <w:rPr>
        <w:rFonts w:hint="default"/>
      </w:rPr>
    </w:lvl>
    <w:lvl w:ilvl="8">
      <w:start w:val="0"/>
      <w:numFmt w:val="bullet"/>
      <w:lvlText w:val="•"/>
      <w:lvlJc w:val="left"/>
      <w:pPr>
        <w:ind w:left="3346" w:hanging="180"/>
      </w:pPr>
      <w:rPr>
        <w:rFonts w:hint="default"/>
      </w:rPr>
    </w:lvl>
  </w:abstractNum>
  <w:abstractNum w:abstractNumId="3">
    <w:multiLevelType w:val="hybridMultilevel"/>
    <w:lvl w:ilvl="0">
      <w:start w:val="0"/>
      <w:numFmt w:val="bullet"/>
      <w:lvlText w:val=""/>
      <w:lvlJc w:val="left"/>
      <w:pPr>
        <w:ind w:left="238" w:hanging="180"/>
      </w:pPr>
      <w:rPr>
        <w:rFonts w:hint="default" w:ascii="Symbol" w:hAnsi="Symbol" w:eastAsia="Symbol" w:cs="Symbol"/>
        <w:w w:val="100"/>
        <w:position w:val="4"/>
        <w:sz w:val="20"/>
        <w:szCs w:val="20"/>
      </w:rPr>
    </w:lvl>
    <w:lvl w:ilvl="1">
      <w:start w:val="0"/>
      <w:numFmt w:val="bullet"/>
      <w:lvlText w:val="•"/>
      <w:lvlJc w:val="left"/>
      <w:pPr>
        <w:ind w:left="633" w:hanging="180"/>
      </w:pPr>
      <w:rPr>
        <w:rFonts w:hint="default"/>
      </w:rPr>
    </w:lvl>
    <w:lvl w:ilvl="2">
      <w:start w:val="0"/>
      <w:numFmt w:val="bullet"/>
      <w:lvlText w:val="•"/>
      <w:lvlJc w:val="left"/>
      <w:pPr>
        <w:ind w:left="1026" w:hanging="180"/>
      </w:pPr>
      <w:rPr>
        <w:rFonts w:hint="default"/>
      </w:rPr>
    </w:lvl>
    <w:lvl w:ilvl="3">
      <w:start w:val="0"/>
      <w:numFmt w:val="bullet"/>
      <w:lvlText w:val="•"/>
      <w:lvlJc w:val="left"/>
      <w:pPr>
        <w:ind w:left="1420" w:hanging="180"/>
      </w:pPr>
      <w:rPr>
        <w:rFonts w:hint="default"/>
      </w:rPr>
    </w:lvl>
    <w:lvl w:ilvl="4">
      <w:start w:val="0"/>
      <w:numFmt w:val="bullet"/>
      <w:lvlText w:val="•"/>
      <w:lvlJc w:val="left"/>
      <w:pPr>
        <w:ind w:left="1813" w:hanging="180"/>
      </w:pPr>
      <w:rPr>
        <w:rFonts w:hint="default"/>
      </w:rPr>
    </w:lvl>
    <w:lvl w:ilvl="5">
      <w:start w:val="0"/>
      <w:numFmt w:val="bullet"/>
      <w:lvlText w:val="•"/>
      <w:lvlJc w:val="left"/>
      <w:pPr>
        <w:ind w:left="2206" w:hanging="180"/>
      </w:pPr>
      <w:rPr>
        <w:rFonts w:hint="default"/>
      </w:rPr>
    </w:lvl>
    <w:lvl w:ilvl="6">
      <w:start w:val="0"/>
      <w:numFmt w:val="bullet"/>
      <w:lvlText w:val="•"/>
      <w:lvlJc w:val="left"/>
      <w:pPr>
        <w:ind w:left="2600" w:hanging="180"/>
      </w:pPr>
      <w:rPr>
        <w:rFonts w:hint="default"/>
      </w:rPr>
    </w:lvl>
    <w:lvl w:ilvl="7">
      <w:start w:val="0"/>
      <w:numFmt w:val="bullet"/>
      <w:lvlText w:val="•"/>
      <w:lvlJc w:val="left"/>
      <w:pPr>
        <w:ind w:left="2993" w:hanging="180"/>
      </w:pPr>
      <w:rPr>
        <w:rFonts w:hint="default"/>
      </w:rPr>
    </w:lvl>
    <w:lvl w:ilvl="8">
      <w:start w:val="0"/>
      <w:numFmt w:val="bullet"/>
      <w:lvlText w:val="•"/>
      <w:lvlJc w:val="left"/>
      <w:pPr>
        <w:ind w:left="3386" w:hanging="180"/>
      </w:pPr>
      <w:rPr>
        <w:rFonts w:hint="default"/>
      </w:rPr>
    </w:lvl>
  </w:abstractNum>
  <w:abstractNum w:abstractNumId="2">
    <w:multiLevelType w:val="hybridMultilevel"/>
    <w:lvl w:ilvl="0">
      <w:start w:val="0"/>
      <w:numFmt w:val="bullet"/>
      <w:lvlText w:val=""/>
      <w:lvlJc w:val="left"/>
      <w:pPr>
        <w:ind w:left="417" w:hanging="193"/>
      </w:pPr>
      <w:rPr>
        <w:rFonts w:hint="default" w:ascii="Symbol" w:hAnsi="Symbol" w:eastAsia="Symbol" w:cs="Symbol"/>
        <w:w w:val="100"/>
        <w:position w:val="1"/>
        <w:sz w:val="20"/>
        <w:szCs w:val="20"/>
      </w:rPr>
    </w:lvl>
    <w:lvl w:ilvl="1">
      <w:start w:val="0"/>
      <w:numFmt w:val="bullet"/>
      <w:lvlText w:val="•"/>
      <w:lvlJc w:val="left"/>
      <w:pPr>
        <w:ind w:left="666" w:hanging="193"/>
      </w:pPr>
      <w:rPr>
        <w:rFonts w:hint="default"/>
      </w:rPr>
    </w:lvl>
    <w:lvl w:ilvl="2">
      <w:start w:val="0"/>
      <w:numFmt w:val="bullet"/>
      <w:lvlText w:val="•"/>
      <w:lvlJc w:val="left"/>
      <w:pPr>
        <w:ind w:left="912" w:hanging="193"/>
      </w:pPr>
      <w:rPr>
        <w:rFonts w:hint="default"/>
      </w:rPr>
    </w:lvl>
    <w:lvl w:ilvl="3">
      <w:start w:val="0"/>
      <w:numFmt w:val="bullet"/>
      <w:lvlText w:val="•"/>
      <w:lvlJc w:val="left"/>
      <w:pPr>
        <w:ind w:left="1158" w:hanging="193"/>
      </w:pPr>
      <w:rPr>
        <w:rFonts w:hint="default"/>
      </w:rPr>
    </w:lvl>
    <w:lvl w:ilvl="4">
      <w:start w:val="0"/>
      <w:numFmt w:val="bullet"/>
      <w:lvlText w:val="•"/>
      <w:lvlJc w:val="left"/>
      <w:pPr>
        <w:ind w:left="1404" w:hanging="193"/>
      </w:pPr>
      <w:rPr>
        <w:rFonts w:hint="default"/>
      </w:rPr>
    </w:lvl>
    <w:lvl w:ilvl="5">
      <w:start w:val="0"/>
      <w:numFmt w:val="bullet"/>
      <w:lvlText w:val="•"/>
      <w:lvlJc w:val="left"/>
      <w:pPr>
        <w:ind w:left="1650" w:hanging="193"/>
      </w:pPr>
      <w:rPr>
        <w:rFonts w:hint="default"/>
      </w:rPr>
    </w:lvl>
    <w:lvl w:ilvl="6">
      <w:start w:val="0"/>
      <w:numFmt w:val="bullet"/>
      <w:lvlText w:val="•"/>
      <w:lvlJc w:val="left"/>
      <w:pPr>
        <w:ind w:left="1896" w:hanging="193"/>
      </w:pPr>
      <w:rPr>
        <w:rFonts w:hint="default"/>
      </w:rPr>
    </w:lvl>
    <w:lvl w:ilvl="7">
      <w:start w:val="0"/>
      <w:numFmt w:val="bullet"/>
      <w:lvlText w:val="•"/>
      <w:lvlJc w:val="left"/>
      <w:pPr>
        <w:ind w:left="2142" w:hanging="193"/>
      </w:pPr>
      <w:rPr>
        <w:rFonts w:hint="default"/>
      </w:rPr>
    </w:lvl>
    <w:lvl w:ilvl="8">
      <w:start w:val="0"/>
      <w:numFmt w:val="bullet"/>
      <w:lvlText w:val="•"/>
      <w:lvlJc w:val="left"/>
      <w:pPr>
        <w:ind w:left="2388" w:hanging="193"/>
      </w:pPr>
      <w:rPr>
        <w:rFonts w:hint="default"/>
      </w:rPr>
    </w:lvl>
  </w:abstractNum>
  <w:abstractNum w:abstractNumId="0">
    <w:multiLevelType w:val="hybridMultilevel"/>
    <w:lvl w:ilvl="0">
      <w:start w:val="0"/>
      <w:numFmt w:val="bullet"/>
      <w:lvlText w:val=""/>
      <w:lvlJc w:val="left"/>
      <w:pPr>
        <w:ind w:left="760" w:hanging="180"/>
      </w:pPr>
      <w:rPr>
        <w:rFonts w:hint="default"/>
        <w:w w:val="100"/>
      </w:rPr>
    </w:lvl>
    <w:lvl w:ilvl="1">
      <w:start w:val="0"/>
      <w:numFmt w:val="bullet"/>
      <w:lvlText w:val="•"/>
      <w:lvlJc w:val="left"/>
      <w:pPr>
        <w:ind w:left="1878" w:hanging="180"/>
      </w:pPr>
      <w:rPr>
        <w:rFonts w:hint="default"/>
      </w:rPr>
    </w:lvl>
    <w:lvl w:ilvl="2">
      <w:start w:val="0"/>
      <w:numFmt w:val="bullet"/>
      <w:lvlText w:val="•"/>
      <w:lvlJc w:val="left"/>
      <w:pPr>
        <w:ind w:left="2996" w:hanging="180"/>
      </w:pPr>
      <w:rPr>
        <w:rFonts w:hint="default"/>
      </w:rPr>
    </w:lvl>
    <w:lvl w:ilvl="3">
      <w:start w:val="0"/>
      <w:numFmt w:val="bullet"/>
      <w:lvlText w:val="•"/>
      <w:lvlJc w:val="left"/>
      <w:pPr>
        <w:ind w:left="4114" w:hanging="180"/>
      </w:pPr>
      <w:rPr>
        <w:rFonts w:hint="default"/>
      </w:rPr>
    </w:lvl>
    <w:lvl w:ilvl="4">
      <w:start w:val="0"/>
      <w:numFmt w:val="bullet"/>
      <w:lvlText w:val="•"/>
      <w:lvlJc w:val="left"/>
      <w:pPr>
        <w:ind w:left="5232" w:hanging="180"/>
      </w:pPr>
      <w:rPr>
        <w:rFonts w:hint="default"/>
      </w:rPr>
    </w:lvl>
    <w:lvl w:ilvl="5">
      <w:start w:val="0"/>
      <w:numFmt w:val="bullet"/>
      <w:lvlText w:val="•"/>
      <w:lvlJc w:val="left"/>
      <w:pPr>
        <w:ind w:left="6350" w:hanging="180"/>
      </w:pPr>
      <w:rPr>
        <w:rFonts w:hint="default"/>
      </w:rPr>
    </w:lvl>
    <w:lvl w:ilvl="6">
      <w:start w:val="0"/>
      <w:numFmt w:val="bullet"/>
      <w:lvlText w:val="•"/>
      <w:lvlJc w:val="left"/>
      <w:pPr>
        <w:ind w:left="7468" w:hanging="180"/>
      </w:pPr>
      <w:rPr>
        <w:rFonts w:hint="default"/>
      </w:rPr>
    </w:lvl>
    <w:lvl w:ilvl="7">
      <w:start w:val="0"/>
      <w:numFmt w:val="bullet"/>
      <w:lvlText w:val="•"/>
      <w:lvlJc w:val="left"/>
      <w:pPr>
        <w:ind w:left="8586" w:hanging="180"/>
      </w:pPr>
      <w:rPr>
        <w:rFonts w:hint="default"/>
      </w:rPr>
    </w:lvl>
    <w:lvl w:ilvl="8">
      <w:start w:val="0"/>
      <w:numFmt w:val="bullet"/>
      <w:lvlText w:val="•"/>
      <w:lvlJc w:val="left"/>
      <w:pPr>
        <w:ind w:left="9704" w:hanging="180"/>
      </w:pPr>
      <w:rPr>
        <w:rFonts w:hint="default"/>
      </w:rPr>
    </w:lvl>
  </w:abstractNum>
  <w:num w:numId="2">
    <w:abstractNumId w:val="1"/>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ListParagraph" w:type="paragraph">
    <w:name w:val="List Paragraph"/>
    <w:basedOn w:val="Normal"/>
    <w:uiPriority w:val="1"/>
    <w:qFormat/>
    <w:pPr>
      <w:ind w:left="760" w:hanging="18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MArthur</dc:creator>
  <dc:title>Microsoft Word - New_Mexico_Tech_Interim_Sexual_Misconduct__Title_IX_Offenses_Policy updated November 2017.docx</dc:title>
  <dcterms:created xsi:type="dcterms:W3CDTF">2018-03-16T20:41:21Z</dcterms:created>
  <dcterms:modified xsi:type="dcterms:W3CDTF">2018-03-16T20:41:21Z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PScript5.dll Version 5.2.2</vt:lpwstr>
  </property>
  <property fmtid="{D5CDD505-2E9C-101B-9397-08002B2CF9AE}" pid="4" name="LastSaved">
    <vt:filetime>2018-03-16T00:00:00Z</vt:filetime>
  </property>
</Properties>
</file>