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7B9" w:rsidRPr="00BE1BA4" w:rsidRDefault="00CF67B9" w:rsidP="00CF67B9">
      <w:pPr>
        <w:spacing w:before="100" w:beforeAutospacing="1" w:after="100" w:afterAutospacing="1" w:line="240" w:lineRule="auto"/>
        <w:jc w:val="center"/>
        <w:rPr>
          <w:rFonts w:ascii="Times New Roman" w:eastAsia="Times New Roman" w:hAnsi="Times New Roman" w:cs="Times New Roman"/>
          <w:b/>
          <w:sz w:val="24"/>
          <w:szCs w:val="24"/>
        </w:rPr>
      </w:pPr>
      <w:r w:rsidRPr="00BE1BA4">
        <w:rPr>
          <w:rFonts w:ascii="Times New Roman" w:eastAsia="Times New Roman" w:hAnsi="Times New Roman" w:cs="Times New Roman"/>
          <w:b/>
          <w:sz w:val="24"/>
          <w:szCs w:val="24"/>
        </w:rPr>
        <w:t>Consent</w:t>
      </w:r>
    </w:p>
    <w:p w:rsidR="00B752B3" w:rsidRDefault="00BE1BA4" w:rsidP="00BE1BA4">
      <w:pPr>
        <w:rPr>
          <w:rFonts w:ascii="Times New Roman" w:hAnsi="Times New Roman" w:cs="Times New Roman"/>
          <w:sz w:val="24"/>
          <w:szCs w:val="24"/>
          <w:lang w:val="en"/>
        </w:rPr>
      </w:pPr>
      <w:r w:rsidRPr="00BE1BA4">
        <w:rPr>
          <w:rFonts w:ascii="Times New Roman" w:hAnsi="Times New Roman" w:cs="Times New Roman"/>
          <w:sz w:val="24"/>
          <w:szCs w:val="24"/>
          <w:lang w:val="en"/>
        </w:rPr>
        <w:t xml:space="preserve">A determination about the existence of consent is a critical element in the investigation of a sexual misconduct. </w:t>
      </w:r>
      <w:r w:rsidR="00C17A5F">
        <w:rPr>
          <w:rFonts w:ascii="Times New Roman" w:hAnsi="Times New Roman" w:cs="Times New Roman"/>
          <w:sz w:val="24"/>
          <w:szCs w:val="24"/>
          <w:lang w:val="en"/>
        </w:rPr>
        <w:t>University</w:t>
      </w:r>
      <w:r w:rsidRPr="00BE1BA4">
        <w:rPr>
          <w:rFonts w:ascii="Times New Roman" w:hAnsi="Times New Roman" w:cs="Times New Roman"/>
          <w:sz w:val="24"/>
          <w:szCs w:val="24"/>
          <w:lang w:val="en"/>
        </w:rPr>
        <w:t xml:space="preserve"> policy requires consent between individuals engaging in sexual activity. </w:t>
      </w:r>
    </w:p>
    <w:p w:rsidR="00B752B3" w:rsidRPr="00EF1C78" w:rsidRDefault="00B752B3" w:rsidP="00195693">
      <w:pPr>
        <w:pStyle w:val="ListParagraph"/>
        <w:tabs>
          <w:tab w:val="left" w:pos="1440"/>
        </w:tabs>
        <w:spacing w:line="240" w:lineRule="auto"/>
        <w:ind w:left="360"/>
        <w:rPr>
          <w:rFonts w:ascii="Times New Roman" w:hAnsi="Times New Roman" w:cs="Times New Roman"/>
          <w:b/>
          <w:bCs/>
        </w:rPr>
      </w:pPr>
      <w:r w:rsidRPr="00EF1C78">
        <w:rPr>
          <w:rFonts w:ascii="Times New Roman" w:eastAsia="Times New Roman" w:hAnsi="Times New Roman" w:cs="Times New Roman"/>
          <w:b/>
          <w:bCs/>
          <w:color w:val="333333"/>
        </w:rPr>
        <w:t>Consent</w:t>
      </w:r>
      <w:r w:rsidRPr="00EF1C78">
        <w:rPr>
          <w:rFonts w:ascii="Times New Roman" w:eastAsia="Times New Roman" w:hAnsi="Times New Roman" w:cs="Times New Roman"/>
          <w:bCs/>
          <w:color w:val="333333"/>
        </w:rPr>
        <w:t>:</w:t>
      </w:r>
      <w:r w:rsidRPr="00EF1C78">
        <w:rPr>
          <w:rFonts w:ascii="Times New Roman" w:eastAsia="Times New Roman" w:hAnsi="Times New Roman" w:cs="Times New Roman"/>
          <w:color w:val="333333"/>
        </w:rPr>
        <w:t xml:space="preserve"> </w:t>
      </w:r>
      <w:r w:rsidRPr="00EF1C78">
        <w:rPr>
          <w:rFonts w:ascii="Times New Roman" w:hAnsi="Times New Roman" w:cs="Times New Roman"/>
          <w:color w:val="333333"/>
          <w:shd w:val="clear" w:color="auto" w:fill="FFFFFF"/>
        </w:rPr>
        <w:t>Consent is an affirmative, informed, and conscious decision to willingly engage in mutually acceptable sexual activity. Consent requires a clear affirmative act or statement by each participant to each sexual act in a sexual interaction. Consent demonstrates that the conduct in question is welcome or wanted. Relying solely on non-verbal communication can lead to miscommunication about one’s intent. Confusion or ambiguity may arise at any time during a sexual interaction. Therefore, it is essential that each participant makes clear his or her willingness to continue at each progression of the sexual interaction.</w:t>
      </w:r>
    </w:p>
    <w:p w:rsidR="00B752B3" w:rsidRPr="00EF1C78" w:rsidRDefault="00B752B3" w:rsidP="00195693">
      <w:pPr>
        <w:pStyle w:val="ListParagraph"/>
        <w:tabs>
          <w:tab w:val="left" w:pos="1440"/>
        </w:tabs>
        <w:spacing w:after="0" w:line="240" w:lineRule="auto"/>
        <w:ind w:left="360"/>
        <w:rPr>
          <w:rFonts w:ascii="Times New Roman" w:hAnsi="Times New Roman" w:cs="Times New Roman"/>
          <w:color w:val="333333"/>
          <w:shd w:val="clear" w:color="auto" w:fill="FFFFFF"/>
        </w:rPr>
      </w:pPr>
    </w:p>
    <w:p w:rsidR="00B752B3" w:rsidRPr="00EF1C78" w:rsidRDefault="00B752B3" w:rsidP="00195693">
      <w:pPr>
        <w:pStyle w:val="ListParagraph"/>
        <w:tabs>
          <w:tab w:val="left" w:pos="1440"/>
        </w:tabs>
        <w:spacing w:after="0" w:line="240" w:lineRule="auto"/>
        <w:ind w:left="360"/>
        <w:rPr>
          <w:rFonts w:ascii="Times New Roman" w:hAnsi="Times New Roman" w:cs="Times New Roman"/>
          <w:color w:val="333333"/>
          <w:shd w:val="clear" w:color="auto" w:fill="FFFFFF"/>
        </w:rPr>
      </w:pPr>
      <w:r w:rsidRPr="00EF1C78">
        <w:rPr>
          <w:rFonts w:ascii="Times New Roman" w:hAnsi="Times New Roman" w:cs="Times New Roman"/>
          <w:color w:val="333333"/>
          <w:shd w:val="clear" w:color="auto" w:fill="FFFFFF"/>
        </w:rPr>
        <w:t>Sexual activity will be considered “without consent” if no clear act or statement is given. Consent may not be inferred from silence, passivity or lack of active response alone. A person who is asleep, unconscious, or otherwise unaware of what is happening is unable to give consent. Furthermore, a current or past dating or sexual relationship is not sufficient to constitute consent in every instance, and consent to one form of sexual activity does not imply consent to other forms of sexual activity. It is the responsibility of the person initiating the sexual activity to obtain consent from his or her partner. Being intoxicated or under the influence of other drugs does not diminish one’s responsibility to obtain consent.</w:t>
      </w:r>
    </w:p>
    <w:p w:rsidR="00B752B3" w:rsidRPr="00EF1C78" w:rsidRDefault="00B752B3" w:rsidP="00195693">
      <w:pPr>
        <w:shd w:val="clear" w:color="auto" w:fill="FFFFFF"/>
        <w:spacing w:after="0" w:line="240" w:lineRule="auto"/>
        <w:ind w:left="360" w:right="-180"/>
        <w:rPr>
          <w:rFonts w:ascii="Times New Roman" w:eastAsia="Times New Roman" w:hAnsi="Times New Roman" w:cs="Times New Roman"/>
          <w:color w:val="333333"/>
        </w:rPr>
      </w:pPr>
    </w:p>
    <w:p w:rsidR="00B752B3" w:rsidRPr="00BB6D4A" w:rsidRDefault="00B752B3" w:rsidP="00195693">
      <w:pPr>
        <w:shd w:val="clear" w:color="auto" w:fill="FFFFFF"/>
        <w:spacing w:after="0" w:line="240" w:lineRule="auto"/>
        <w:ind w:left="360" w:right="-180"/>
        <w:rPr>
          <w:rFonts w:ascii="Times New Roman" w:eastAsia="Times New Roman" w:hAnsi="Times New Roman" w:cs="Times New Roman"/>
          <w:color w:val="333333"/>
        </w:rPr>
      </w:pPr>
      <w:r w:rsidRPr="00BB6D4A">
        <w:rPr>
          <w:rFonts w:ascii="Times New Roman" w:eastAsia="Times New Roman" w:hAnsi="Times New Roman" w:cs="Times New Roman"/>
          <w:color w:val="333333"/>
        </w:rPr>
        <w:t xml:space="preserve">The use of alcohol or drugs can limit or prevent a person’s ability to freely and clearly give consent. If a person is under the influence of alcohol or drugs such that he or she is unable to give meaningful consent or does not understand the fact, nature or extent of the sexual situation, there is no consent. Intoxication alone, however, does not mean a person is incapable of consenting to sexual activity. </w:t>
      </w:r>
      <w:r w:rsidRPr="00EF1C78">
        <w:rPr>
          <w:rFonts w:ascii="Times New Roman" w:eastAsia="Times New Roman" w:hAnsi="Times New Roman" w:cs="Times New Roman"/>
          <w:color w:val="333333"/>
        </w:rPr>
        <w:t xml:space="preserve">The </w:t>
      </w:r>
      <w:r w:rsidR="00C17A5F">
        <w:rPr>
          <w:rFonts w:ascii="Times New Roman" w:eastAsia="Times New Roman" w:hAnsi="Times New Roman" w:cs="Times New Roman"/>
          <w:color w:val="333333"/>
        </w:rPr>
        <w:t>University</w:t>
      </w:r>
      <w:r w:rsidRPr="00EF1C78">
        <w:rPr>
          <w:rFonts w:ascii="Times New Roman" w:eastAsia="Times New Roman" w:hAnsi="Times New Roman" w:cs="Times New Roman"/>
          <w:color w:val="333333"/>
        </w:rPr>
        <w:t xml:space="preserve"> </w:t>
      </w:r>
      <w:r w:rsidRPr="00BB6D4A">
        <w:rPr>
          <w:rFonts w:ascii="Times New Roman" w:eastAsia="Times New Roman" w:hAnsi="Times New Roman" w:cs="Times New Roman"/>
          <w:color w:val="333333"/>
        </w:rPr>
        <w:t xml:space="preserve">examines the record for other behavior like stumbling or otherwise exhibiting loss of equilibrium; slurred speech or word confusion; bloodshot, glassy or unfocused eyes; vomiting, especially repeatedly; being disoriented, or confused as to time or place; or loss of consciousness. Should </w:t>
      </w:r>
      <w:r w:rsidR="00EE6709">
        <w:rPr>
          <w:rFonts w:ascii="Times New Roman" w:eastAsia="Times New Roman" w:hAnsi="Times New Roman" w:cs="Times New Roman"/>
          <w:color w:val="333333"/>
        </w:rPr>
        <w:t xml:space="preserve">clear and convincing </w:t>
      </w:r>
      <w:bookmarkStart w:id="0" w:name="_GoBack"/>
      <w:bookmarkEnd w:id="0"/>
      <w:r w:rsidRPr="00BB6D4A">
        <w:rPr>
          <w:rFonts w:ascii="Times New Roman" w:eastAsia="Times New Roman" w:hAnsi="Times New Roman" w:cs="Times New Roman"/>
          <w:color w:val="333333"/>
        </w:rPr>
        <w:t xml:space="preserve">evidence in the record demonstrate that one or more such behaviors were objectively apparent at the time the alleged unconsented-to or unwelcomed sexual activity occurred, then the evidence may demonstrate that the respondent knew or should have known that the complainant was incapable of giving meaningful consent to sexual activity due to </w:t>
      </w:r>
      <w:r w:rsidRPr="00EF1C78">
        <w:rPr>
          <w:rFonts w:ascii="Times New Roman" w:eastAsia="Times New Roman" w:hAnsi="Times New Roman" w:cs="Times New Roman"/>
          <w:color w:val="333333"/>
        </w:rPr>
        <w:t>i</w:t>
      </w:r>
      <w:r w:rsidRPr="00BB6D4A">
        <w:rPr>
          <w:rFonts w:ascii="Times New Roman" w:eastAsia="Times New Roman" w:hAnsi="Times New Roman" w:cs="Times New Roman"/>
          <w:color w:val="333333"/>
        </w:rPr>
        <w:t>ntoxication. If the person initiating the sexual activity is also under the influence of alcohol or drugs, that does not diminish his or her responsibility to obtain consent, and is not a defense to charges of violation of this policy. Because it may be difficult to discern whether a sexual partner is incapacitated, it is better to err on the side of caution and assume that your partner is incapacitated and unable to give consent to the sexual activity.</w:t>
      </w:r>
    </w:p>
    <w:p w:rsidR="00B752B3" w:rsidRPr="00EF1C78" w:rsidRDefault="00B752B3" w:rsidP="00195693">
      <w:pPr>
        <w:shd w:val="clear" w:color="auto" w:fill="FFFFFF"/>
        <w:spacing w:after="0" w:line="240" w:lineRule="auto"/>
        <w:ind w:left="360"/>
        <w:rPr>
          <w:rFonts w:ascii="Times New Roman" w:eastAsia="Times New Roman" w:hAnsi="Times New Roman" w:cs="Times New Roman"/>
          <w:color w:val="333333"/>
        </w:rPr>
      </w:pPr>
    </w:p>
    <w:p w:rsidR="00B752B3" w:rsidRPr="00BB6D4A" w:rsidRDefault="00B752B3" w:rsidP="00195693">
      <w:pPr>
        <w:shd w:val="clear" w:color="auto" w:fill="FFFFFF"/>
        <w:spacing w:after="0" w:line="240" w:lineRule="auto"/>
        <w:ind w:left="360"/>
        <w:rPr>
          <w:rFonts w:ascii="Times New Roman" w:eastAsia="Times New Roman" w:hAnsi="Times New Roman" w:cs="Times New Roman"/>
          <w:color w:val="333333"/>
        </w:rPr>
      </w:pPr>
      <w:r w:rsidRPr="00BB6D4A">
        <w:rPr>
          <w:rFonts w:ascii="Times New Roman" w:eastAsia="Times New Roman" w:hAnsi="Times New Roman" w:cs="Times New Roman"/>
          <w:color w:val="333333"/>
        </w:rPr>
        <w:t>In addition to alcohol or drugs, if a person’s mental, physical, or psychological disability (temporary or permanent) or age impairs his or her ability to make an informed decision to willingly engage in sexual activity, there is no consent. Examples include, but are not limited to, when an individual is incapacitated, scared, physically forced, intimidated, coerced, mentally or physically impaired, passed out, threatened, isolated, or confined.</w:t>
      </w:r>
    </w:p>
    <w:p w:rsidR="00B752B3" w:rsidRPr="00EF1C78" w:rsidRDefault="00B752B3" w:rsidP="00EF1C78">
      <w:pPr>
        <w:pStyle w:val="ListParagraph"/>
        <w:tabs>
          <w:tab w:val="left" w:pos="1440"/>
        </w:tabs>
        <w:spacing w:line="240" w:lineRule="auto"/>
        <w:ind w:left="0"/>
        <w:rPr>
          <w:rFonts w:ascii="Times New Roman" w:eastAsia="Times New Roman" w:hAnsi="Times New Roman" w:cs="Times New Roman"/>
          <w:color w:val="333333"/>
        </w:rPr>
      </w:pPr>
    </w:p>
    <w:p w:rsidR="00B752B3" w:rsidRPr="00EF1C78" w:rsidRDefault="00B752B3" w:rsidP="00EF1C78">
      <w:pPr>
        <w:pStyle w:val="ListParagraph"/>
        <w:tabs>
          <w:tab w:val="left" w:pos="1440"/>
        </w:tabs>
        <w:spacing w:line="240" w:lineRule="auto"/>
        <w:ind w:left="0"/>
        <w:rPr>
          <w:rFonts w:ascii="Times New Roman" w:hAnsi="Times New Roman" w:cs="Times New Roman"/>
          <w:b/>
          <w:bCs/>
        </w:rPr>
      </w:pPr>
      <w:r w:rsidRPr="00EF1C78">
        <w:rPr>
          <w:rFonts w:ascii="Times New Roman" w:eastAsia="Times New Roman" w:hAnsi="Times New Roman" w:cs="Times New Roman"/>
          <w:color w:val="333333"/>
        </w:rPr>
        <w:t>This definition of consent does not vary based upon a person's sex, sexual orientation, gender identity or gender expression.</w:t>
      </w:r>
    </w:p>
    <w:p w:rsidR="00B752B3" w:rsidRPr="00EF1C78" w:rsidRDefault="00B752B3" w:rsidP="00EF1C78">
      <w:pPr>
        <w:pStyle w:val="ListParagraph"/>
        <w:tabs>
          <w:tab w:val="left" w:pos="1440"/>
        </w:tabs>
        <w:spacing w:line="240" w:lineRule="auto"/>
        <w:ind w:left="0"/>
        <w:rPr>
          <w:rFonts w:ascii="Times New Roman" w:hAnsi="Times New Roman" w:cs="Times New Roman"/>
          <w:i/>
        </w:rPr>
      </w:pPr>
    </w:p>
    <w:p w:rsidR="00195693" w:rsidRDefault="00B752B3" w:rsidP="00EF1C78">
      <w:pPr>
        <w:pStyle w:val="ListParagraph"/>
        <w:tabs>
          <w:tab w:val="left" w:pos="1440"/>
        </w:tabs>
        <w:spacing w:line="240" w:lineRule="auto"/>
        <w:ind w:left="0"/>
        <w:rPr>
          <w:rFonts w:asciiTheme="majorHAnsi" w:hAnsiTheme="majorHAnsi" w:cs="Calibri"/>
          <w:i/>
        </w:rPr>
      </w:pPr>
      <w:r w:rsidRPr="00EF1C78">
        <w:rPr>
          <w:rFonts w:ascii="Times New Roman" w:hAnsi="Times New Roman" w:cs="Times New Roman"/>
          <w:i/>
        </w:rPr>
        <w:t>Please note, under state law children who are less than 13 years of age are incapable of consent under all circumstances. Sexual activities with someone who is at least 13 years of age and less than 16 years of age are only legal if the defendant is less than 18 years of age and less than 4 years</w:t>
      </w:r>
      <w:r w:rsidRPr="00802368">
        <w:rPr>
          <w:rFonts w:asciiTheme="majorHAnsi" w:hAnsiTheme="majorHAnsi" w:cs="Calibri"/>
          <w:i/>
        </w:rPr>
        <w:t xml:space="preserve"> older than the victim.</w:t>
      </w:r>
      <w:r>
        <w:rPr>
          <w:rFonts w:asciiTheme="majorHAnsi" w:hAnsiTheme="majorHAnsi" w:cs="Calibri"/>
          <w:i/>
        </w:rPr>
        <w:t xml:space="preserve"> </w:t>
      </w:r>
    </w:p>
    <w:p w:rsidR="00195693" w:rsidRDefault="00195693" w:rsidP="00EF1C78">
      <w:pPr>
        <w:rPr>
          <w:rFonts w:ascii="Times New Roman" w:hAnsi="Times New Roman" w:cs="Times New Roman"/>
          <w:sz w:val="24"/>
          <w:szCs w:val="24"/>
          <w:lang w:val="en"/>
        </w:rPr>
      </w:pPr>
    </w:p>
    <w:p w:rsidR="00195693" w:rsidRDefault="00195693" w:rsidP="00EF1C78">
      <w:pPr>
        <w:rPr>
          <w:rFonts w:ascii="Times New Roman" w:hAnsi="Times New Roman" w:cs="Times New Roman"/>
          <w:sz w:val="24"/>
          <w:szCs w:val="24"/>
          <w:lang w:val="en"/>
        </w:rPr>
      </w:pPr>
    </w:p>
    <w:p w:rsidR="00EF1C78" w:rsidRPr="00BE1BA4" w:rsidRDefault="00EF1C78" w:rsidP="00EF1C78">
      <w:pPr>
        <w:rPr>
          <w:rFonts w:ascii="Times New Roman" w:hAnsi="Times New Roman" w:cs="Times New Roman"/>
          <w:sz w:val="24"/>
          <w:szCs w:val="24"/>
        </w:rPr>
      </w:pPr>
      <w:r w:rsidRPr="00BE1BA4">
        <w:rPr>
          <w:rFonts w:ascii="Times New Roman" w:hAnsi="Times New Roman" w:cs="Times New Roman"/>
          <w:sz w:val="24"/>
          <w:szCs w:val="24"/>
          <w:lang w:val="en"/>
        </w:rPr>
        <w:lastRenderedPageBreak/>
        <w:t>The following factors will be considered when determining consent:</w:t>
      </w:r>
    </w:p>
    <w:p w:rsidR="00EF1C78" w:rsidRPr="00BE1BA4" w:rsidRDefault="00EF1C78" w:rsidP="00EF1C78">
      <w:pPr>
        <w:numPr>
          <w:ilvl w:val="0"/>
          <w:numId w:val="2"/>
        </w:numPr>
        <w:rPr>
          <w:rFonts w:ascii="Times New Roman" w:hAnsi="Times New Roman" w:cs="Times New Roman"/>
          <w:sz w:val="24"/>
          <w:szCs w:val="24"/>
        </w:rPr>
      </w:pPr>
      <w:r w:rsidRPr="00BE1BA4">
        <w:rPr>
          <w:rFonts w:ascii="Times New Roman" w:hAnsi="Times New Roman" w:cs="Times New Roman"/>
          <w:sz w:val="24"/>
          <w:szCs w:val="24"/>
          <w:lang w:val="en"/>
        </w:rPr>
        <w:t>It is the responsibility of each person who wishes to engage in the sexual activity to obtain consent.</w:t>
      </w:r>
    </w:p>
    <w:p w:rsidR="00EF1C78" w:rsidRPr="00BE1BA4" w:rsidRDefault="00EF1C78" w:rsidP="00EF1C78">
      <w:pPr>
        <w:numPr>
          <w:ilvl w:val="0"/>
          <w:numId w:val="2"/>
        </w:numPr>
        <w:rPr>
          <w:rFonts w:ascii="Times New Roman" w:hAnsi="Times New Roman" w:cs="Times New Roman"/>
          <w:sz w:val="24"/>
          <w:szCs w:val="24"/>
        </w:rPr>
      </w:pPr>
      <w:r w:rsidRPr="00BE1BA4">
        <w:rPr>
          <w:rFonts w:ascii="Times New Roman" w:hAnsi="Times New Roman" w:cs="Times New Roman"/>
          <w:sz w:val="24"/>
          <w:szCs w:val="24"/>
          <w:lang w:val="en"/>
        </w:rPr>
        <w:t>A lack of protest, the absence of resistance and silence do not indicate consent.</w:t>
      </w:r>
    </w:p>
    <w:p w:rsidR="00EF1C78" w:rsidRPr="00BE1BA4" w:rsidRDefault="00EF1C78" w:rsidP="00EF1C78">
      <w:pPr>
        <w:numPr>
          <w:ilvl w:val="0"/>
          <w:numId w:val="2"/>
        </w:numPr>
        <w:rPr>
          <w:rFonts w:ascii="Times New Roman" w:hAnsi="Times New Roman" w:cs="Times New Roman"/>
          <w:sz w:val="24"/>
          <w:szCs w:val="24"/>
        </w:rPr>
      </w:pPr>
      <w:r w:rsidRPr="00BE1BA4">
        <w:rPr>
          <w:rFonts w:ascii="Times New Roman" w:hAnsi="Times New Roman" w:cs="Times New Roman"/>
          <w:sz w:val="24"/>
          <w:szCs w:val="24"/>
          <w:lang w:val="en"/>
        </w:rPr>
        <w:t>The existence of a present or past dating or romantic relationship does not imply consent to future sexual activity.</w:t>
      </w:r>
    </w:p>
    <w:p w:rsidR="00EF1C78" w:rsidRPr="00BE1BA4" w:rsidRDefault="00EF1C78" w:rsidP="00EF1C78">
      <w:pPr>
        <w:numPr>
          <w:ilvl w:val="0"/>
          <w:numId w:val="2"/>
        </w:numPr>
        <w:rPr>
          <w:rFonts w:ascii="Times New Roman" w:hAnsi="Times New Roman" w:cs="Times New Roman"/>
          <w:sz w:val="24"/>
          <w:szCs w:val="24"/>
        </w:rPr>
      </w:pPr>
      <w:r w:rsidRPr="00BE1BA4">
        <w:rPr>
          <w:rFonts w:ascii="Times New Roman" w:hAnsi="Times New Roman" w:cs="Times New Roman"/>
          <w:sz w:val="24"/>
          <w:szCs w:val="24"/>
          <w:lang w:val="en"/>
        </w:rPr>
        <w:t>Consent must be present throughout the sexual activity and may be initially given, but withdrawn at any time.</w:t>
      </w:r>
    </w:p>
    <w:p w:rsidR="00EF1C78" w:rsidRPr="00BE1BA4" w:rsidRDefault="00EF1C78" w:rsidP="00EF1C78">
      <w:pPr>
        <w:numPr>
          <w:ilvl w:val="0"/>
          <w:numId w:val="2"/>
        </w:numPr>
        <w:rPr>
          <w:rFonts w:ascii="Times New Roman" w:hAnsi="Times New Roman" w:cs="Times New Roman"/>
          <w:sz w:val="24"/>
          <w:szCs w:val="24"/>
        </w:rPr>
      </w:pPr>
      <w:r w:rsidRPr="00BE1BA4">
        <w:rPr>
          <w:rFonts w:ascii="Times New Roman" w:hAnsi="Times New Roman" w:cs="Times New Roman"/>
          <w:sz w:val="24"/>
          <w:szCs w:val="24"/>
          <w:lang w:val="en"/>
        </w:rPr>
        <w:t>When consent is withdrawn all sexual activity must stop.  Likewise, where there is confusion about the state of consent, sexual activity must stop until both parties consent again.</w:t>
      </w:r>
    </w:p>
    <w:p w:rsidR="00EF1C78" w:rsidRPr="00BE1BA4" w:rsidRDefault="00EF1C78" w:rsidP="00EF1C78">
      <w:pPr>
        <w:numPr>
          <w:ilvl w:val="0"/>
          <w:numId w:val="2"/>
        </w:numPr>
        <w:rPr>
          <w:rFonts w:ascii="Times New Roman" w:hAnsi="Times New Roman" w:cs="Times New Roman"/>
          <w:sz w:val="24"/>
          <w:szCs w:val="24"/>
        </w:rPr>
      </w:pPr>
      <w:r w:rsidRPr="00BE1BA4">
        <w:rPr>
          <w:rFonts w:ascii="Times New Roman" w:hAnsi="Times New Roman" w:cs="Times New Roman"/>
          <w:sz w:val="24"/>
          <w:szCs w:val="24"/>
          <w:lang w:val="en"/>
        </w:rPr>
        <w:t>Consent to one form of sexual activity does not imply consent to other forms of sexual activity.</w:t>
      </w:r>
    </w:p>
    <w:p w:rsidR="00EF1C78" w:rsidRPr="00BE1BA4" w:rsidRDefault="00EF1C78" w:rsidP="00EF1C78">
      <w:pPr>
        <w:numPr>
          <w:ilvl w:val="0"/>
          <w:numId w:val="2"/>
        </w:numPr>
        <w:rPr>
          <w:rFonts w:ascii="Times New Roman" w:hAnsi="Times New Roman" w:cs="Times New Roman"/>
          <w:sz w:val="24"/>
          <w:szCs w:val="24"/>
        </w:rPr>
      </w:pPr>
      <w:r w:rsidRPr="00BE1BA4">
        <w:rPr>
          <w:rFonts w:ascii="Times New Roman" w:hAnsi="Times New Roman" w:cs="Times New Roman"/>
          <w:b/>
          <w:bCs/>
          <w:sz w:val="24"/>
          <w:szCs w:val="24"/>
          <w:lang w:val="en"/>
        </w:rPr>
        <w:t>Consent is not obtained where</w:t>
      </w:r>
      <w:r w:rsidRPr="00BE1BA4">
        <w:rPr>
          <w:rFonts w:ascii="Times New Roman" w:hAnsi="Times New Roman" w:cs="Times New Roman"/>
          <w:sz w:val="24"/>
          <w:szCs w:val="24"/>
          <w:lang w:val="en"/>
        </w:rPr>
        <w:t>:</w:t>
      </w:r>
    </w:p>
    <w:p w:rsidR="00EF1C78" w:rsidRPr="00BE1BA4" w:rsidRDefault="00EF1C78" w:rsidP="00EF1C78">
      <w:pPr>
        <w:numPr>
          <w:ilvl w:val="1"/>
          <w:numId w:val="2"/>
        </w:numPr>
        <w:rPr>
          <w:rFonts w:ascii="Times New Roman" w:hAnsi="Times New Roman" w:cs="Times New Roman"/>
          <w:sz w:val="24"/>
          <w:szCs w:val="24"/>
        </w:rPr>
      </w:pPr>
      <w:r w:rsidRPr="00BE1BA4">
        <w:rPr>
          <w:rFonts w:ascii="Times New Roman" w:hAnsi="Times New Roman" w:cs="Times New Roman"/>
          <w:sz w:val="24"/>
          <w:szCs w:val="24"/>
          <w:lang w:val="en"/>
        </w:rPr>
        <w:t>There is physical force, threats, intimidation or coercion.</w:t>
      </w:r>
    </w:p>
    <w:p w:rsidR="00EF1C78" w:rsidRPr="00BE1BA4" w:rsidRDefault="00EF1C78" w:rsidP="00EF1C78">
      <w:pPr>
        <w:numPr>
          <w:ilvl w:val="1"/>
          <w:numId w:val="2"/>
        </w:numPr>
        <w:rPr>
          <w:rFonts w:ascii="Times New Roman" w:hAnsi="Times New Roman" w:cs="Times New Roman"/>
          <w:sz w:val="24"/>
          <w:szCs w:val="24"/>
        </w:rPr>
      </w:pPr>
      <w:r w:rsidRPr="00BE1BA4">
        <w:rPr>
          <w:rFonts w:ascii="Times New Roman" w:hAnsi="Times New Roman" w:cs="Times New Roman"/>
          <w:sz w:val="24"/>
          <w:szCs w:val="24"/>
          <w:lang w:val="en"/>
        </w:rPr>
        <w:t>There is incapacitation due to the influence of drugs or alcohol.</w:t>
      </w:r>
    </w:p>
    <w:p w:rsidR="00EF1C78" w:rsidRPr="00BE1BA4" w:rsidRDefault="00EF1C78" w:rsidP="00EF1C78">
      <w:pPr>
        <w:numPr>
          <w:ilvl w:val="1"/>
          <w:numId w:val="2"/>
        </w:numPr>
        <w:rPr>
          <w:rFonts w:ascii="Times New Roman" w:hAnsi="Times New Roman" w:cs="Times New Roman"/>
          <w:sz w:val="24"/>
          <w:szCs w:val="24"/>
        </w:rPr>
      </w:pPr>
      <w:r w:rsidRPr="00BE1BA4">
        <w:rPr>
          <w:rFonts w:ascii="Times New Roman" w:hAnsi="Times New Roman" w:cs="Times New Roman"/>
          <w:sz w:val="24"/>
          <w:szCs w:val="24"/>
          <w:lang w:val="en"/>
        </w:rPr>
        <w:t>There is the inability to communicate because of a physical or mental condition</w:t>
      </w:r>
    </w:p>
    <w:p w:rsidR="00EF1C78" w:rsidRPr="00BE1BA4" w:rsidRDefault="00EF1C78" w:rsidP="00EF1C78">
      <w:pPr>
        <w:numPr>
          <w:ilvl w:val="1"/>
          <w:numId w:val="2"/>
        </w:numPr>
        <w:rPr>
          <w:rFonts w:ascii="Times New Roman" w:hAnsi="Times New Roman" w:cs="Times New Roman"/>
          <w:sz w:val="24"/>
          <w:szCs w:val="24"/>
        </w:rPr>
      </w:pPr>
      <w:r w:rsidRPr="00BE1BA4">
        <w:rPr>
          <w:rFonts w:ascii="Times New Roman" w:hAnsi="Times New Roman" w:cs="Times New Roman"/>
          <w:sz w:val="24"/>
          <w:szCs w:val="24"/>
          <w:lang w:val="en"/>
        </w:rPr>
        <w:t>An individual is asleep, unconscious or involuntarily physically restrained.</w:t>
      </w:r>
    </w:p>
    <w:p w:rsidR="00EF1C78" w:rsidRPr="00BE1BA4" w:rsidRDefault="00EF1C78" w:rsidP="00EF1C78">
      <w:pPr>
        <w:numPr>
          <w:ilvl w:val="1"/>
          <w:numId w:val="2"/>
        </w:numPr>
        <w:rPr>
          <w:rFonts w:ascii="Times New Roman" w:hAnsi="Times New Roman" w:cs="Times New Roman"/>
          <w:sz w:val="24"/>
          <w:szCs w:val="24"/>
        </w:rPr>
      </w:pPr>
      <w:r w:rsidRPr="00BE1BA4">
        <w:rPr>
          <w:rFonts w:ascii="Times New Roman" w:hAnsi="Times New Roman" w:cs="Times New Roman"/>
          <w:sz w:val="24"/>
          <w:szCs w:val="24"/>
          <w:lang w:val="en"/>
        </w:rPr>
        <w:t>An individual is unable to understand the nature or extent of the sexual situation because of mental or physical incapacitation or impairment.</w:t>
      </w:r>
    </w:p>
    <w:p w:rsidR="00EF1C78" w:rsidRPr="00B752B3" w:rsidRDefault="00EF1C78" w:rsidP="00EF1C78">
      <w:pPr>
        <w:numPr>
          <w:ilvl w:val="1"/>
          <w:numId w:val="2"/>
        </w:numPr>
        <w:rPr>
          <w:rFonts w:ascii="Times New Roman" w:hAnsi="Times New Roman" w:cs="Times New Roman"/>
          <w:sz w:val="24"/>
          <w:szCs w:val="24"/>
        </w:rPr>
      </w:pPr>
      <w:r w:rsidRPr="00BE1BA4">
        <w:rPr>
          <w:rFonts w:ascii="Times New Roman" w:hAnsi="Times New Roman" w:cs="Times New Roman"/>
          <w:sz w:val="24"/>
          <w:szCs w:val="24"/>
          <w:lang w:val="en"/>
        </w:rPr>
        <w:t xml:space="preserve">One party is not of legal age to give consent pursuant to </w:t>
      </w:r>
      <w:r>
        <w:rPr>
          <w:rFonts w:ascii="Times New Roman" w:hAnsi="Times New Roman" w:cs="Times New Roman"/>
          <w:sz w:val="24"/>
          <w:szCs w:val="24"/>
          <w:lang w:val="en"/>
        </w:rPr>
        <w:t>New Mexico</w:t>
      </w:r>
      <w:r w:rsidRPr="00BE1BA4">
        <w:rPr>
          <w:rFonts w:ascii="Times New Roman" w:hAnsi="Times New Roman" w:cs="Times New Roman"/>
          <w:sz w:val="24"/>
          <w:szCs w:val="24"/>
          <w:lang w:val="en"/>
        </w:rPr>
        <w:t xml:space="preserve"> state law.</w:t>
      </w:r>
    </w:p>
    <w:p w:rsidR="00EF1C78" w:rsidRPr="00BE1BA4" w:rsidRDefault="00EF1C78" w:rsidP="00195693">
      <w:pPr>
        <w:rPr>
          <w:rFonts w:ascii="Times New Roman" w:hAnsi="Times New Roman" w:cs="Times New Roman"/>
          <w:sz w:val="24"/>
          <w:szCs w:val="24"/>
        </w:rPr>
      </w:pPr>
    </w:p>
    <w:sectPr w:rsidR="00EF1C78" w:rsidRPr="00BE1BA4" w:rsidSect="00EF1C78">
      <w:pgSz w:w="12240" w:h="15840"/>
      <w:pgMar w:top="1440" w:right="990" w:bottom="144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396CCA"/>
    <w:multiLevelType w:val="multilevel"/>
    <w:tmpl w:val="BBD8C1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6DD4395"/>
    <w:multiLevelType w:val="hybridMultilevel"/>
    <w:tmpl w:val="E7E6E5DC"/>
    <w:lvl w:ilvl="0" w:tplc="DCC0513E">
      <w:start w:val="1"/>
      <w:numFmt w:val="bullet"/>
      <w:lvlText w:val=""/>
      <w:lvlJc w:val="left"/>
      <w:pPr>
        <w:tabs>
          <w:tab w:val="num" w:pos="720"/>
        </w:tabs>
        <w:ind w:left="720" w:hanging="360"/>
      </w:pPr>
      <w:rPr>
        <w:rFonts w:ascii="Wingdings" w:hAnsi="Wingdings" w:hint="default"/>
      </w:rPr>
    </w:lvl>
    <w:lvl w:ilvl="1" w:tplc="2AF8F33A">
      <w:numFmt w:val="bullet"/>
      <w:lvlText w:val="o"/>
      <w:lvlJc w:val="left"/>
      <w:pPr>
        <w:tabs>
          <w:tab w:val="num" w:pos="1440"/>
        </w:tabs>
        <w:ind w:left="1440" w:hanging="360"/>
      </w:pPr>
      <w:rPr>
        <w:rFonts w:ascii="Courier New" w:hAnsi="Courier New" w:hint="default"/>
      </w:rPr>
    </w:lvl>
    <w:lvl w:ilvl="2" w:tplc="8FF6544C" w:tentative="1">
      <w:start w:val="1"/>
      <w:numFmt w:val="bullet"/>
      <w:lvlText w:val=""/>
      <w:lvlJc w:val="left"/>
      <w:pPr>
        <w:tabs>
          <w:tab w:val="num" w:pos="2160"/>
        </w:tabs>
        <w:ind w:left="2160" w:hanging="360"/>
      </w:pPr>
      <w:rPr>
        <w:rFonts w:ascii="Wingdings" w:hAnsi="Wingdings" w:hint="default"/>
      </w:rPr>
    </w:lvl>
    <w:lvl w:ilvl="3" w:tplc="83A85682" w:tentative="1">
      <w:start w:val="1"/>
      <w:numFmt w:val="bullet"/>
      <w:lvlText w:val=""/>
      <w:lvlJc w:val="left"/>
      <w:pPr>
        <w:tabs>
          <w:tab w:val="num" w:pos="2880"/>
        </w:tabs>
        <w:ind w:left="2880" w:hanging="360"/>
      </w:pPr>
      <w:rPr>
        <w:rFonts w:ascii="Wingdings" w:hAnsi="Wingdings" w:hint="default"/>
      </w:rPr>
    </w:lvl>
    <w:lvl w:ilvl="4" w:tplc="34227738" w:tentative="1">
      <w:start w:val="1"/>
      <w:numFmt w:val="bullet"/>
      <w:lvlText w:val=""/>
      <w:lvlJc w:val="left"/>
      <w:pPr>
        <w:tabs>
          <w:tab w:val="num" w:pos="3600"/>
        </w:tabs>
        <w:ind w:left="3600" w:hanging="360"/>
      </w:pPr>
      <w:rPr>
        <w:rFonts w:ascii="Wingdings" w:hAnsi="Wingdings" w:hint="default"/>
      </w:rPr>
    </w:lvl>
    <w:lvl w:ilvl="5" w:tplc="16AAE266" w:tentative="1">
      <w:start w:val="1"/>
      <w:numFmt w:val="bullet"/>
      <w:lvlText w:val=""/>
      <w:lvlJc w:val="left"/>
      <w:pPr>
        <w:tabs>
          <w:tab w:val="num" w:pos="4320"/>
        </w:tabs>
        <w:ind w:left="4320" w:hanging="360"/>
      </w:pPr>
      <w:rPr>
        <w:rFonts w:ascii="Wingdings" w:hAnsi="Wingdings" w:hint="default"/>
      </w:rPr>
    </w:lvl>
    <w:lvl w:ilvl="6" w:tplc="F4FAD58A" w:tentative="1">
      <w:start w:val="1"/>
      <w:numFmt w:val="bullet"/>
      <w:lvlText w:val=""/>
      <w:lvlJc w:val="left"/>
      <w:pPr>
        <w:tabs>
          <w:tab w:val="num" w:pos="5040"/>
        </w:tabs>
        <w:ind w:left="5040" w:hanging="360"/>
      </w:pPr>
      <w:rPr>
        <w:rFonts w:ascii="Wingdings" w:hAnsi="Wingdings" w:hint="default"/>
      </w:rPr>
    </w:lvl>
    <w:lvl w:ilvl="7" w:tplc="9C167248" w:tentative="1">
      <w:start w:val="1"/>
      <w:numFmt w:val="bullet"/>
      <w:lvlText w:val=""/>
      <w:lvlJc w:val="left"/>
      <w:pPr>
        <w:tabs>
          <w:tab w:val="num" w:pos="5760"/>
        </w:tabs>
        <w:ind w:left="5760" w:hanging="360"/>
      </w:pPr>
      <w:rPr>
        <w:rFonts w:ascii="Wingdings" w:hAnsi="Wingdings" w:hint="default"/>
      </w:rPr>
    </w:lvl>
    <w:lvl w:ilvl="8" w:tplc="9F225946" w:tentative="1">
      <w:start w:val="1"/>
      <w:numFmt w:val="bullet"/>
      <w:lvlText w:val=""/>
      <w:lvlJc w:val="left"/>
      <w:pPr>
        <w:tabs>
          <w:tab w:val="num" w:pos="6480"/>
        </w:tabs>
        <w:ind w:left="6480" w:hanging="360"/>
      </w:pPr>
      <w:rPr>
        <w:rFonts w:ascii="Wingdings" w:hAnsi="Wingdings" w:hint="default"/>
      </w:rPr>
    </w:lvl>
  </w:abstractNum>
  <w:abstractNum w:abstractNumId="2">
    <w:nsid w:val="49951DC5"/>
    <w:multiLevelType w:val="hybridMultilevel"/>
    <w:tmpl w:val="AC20B5B2"/>
    <w:lvl w:ilvl="0" w:tplc="DE5C2CDE">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7B9"/>
    <w:rsid w:val="00195693"/>
    <w:rsid w:val="00287CAB"/>
    <w:rsid w:val="004F5986"/>
    <w:rsid w:val="006205B0"/>
    <w:rsid w:val="00B752B3"/>
    <w:rsid w:val="00BE1BA4"/>
    <w:rsid w:val="00C17A5F"/>
    <w:rsid w:val="00CA0FF7"/>
    <w:rsid w:val="00CF67B9"/>
    <w:rsid w:val="00E97B0D"/>
    <w:rsid w:val="00EE6709"/>
    <w:rsid w:val="00EF1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7B9"/>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52B3"/>
    <w:pPr>
      <w:spacing w:after="200" w:line="276"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7B9"/>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52B3"/>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791</Words>
  <Characters>4512</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Socorro, NM</Company>
  <LinksUpToDate>false</LinksUpToDate>
  <CharactersWithSpaces>5293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 Mexico Tech</dc:creator>
  <cp:lastModifiedBy>New Mexico Tech</cp:lastModifiedBy>
  <cp:revision>2</cp:revision>
  <dcterms:created xsi:type="dcterms:W3CDTF">2018-10-18T17:54:00Z</dcterms:created>
  <dcterms:modified xsi:type="dcterms:W3CDTF">2018-10-18T17:54:00Z</dcterms:modified>
</cp:coreProperties>
</file>