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81" w:rsidRDefault="005B5559">
      <w:pPr>
        <w:jc w:val="center"/>
        <w:rPr>
          <w:rFonts w:ascii="EB Garamond" w:eastAsia="EB Garamond" w:hAnsi="EB Garamond" w:cs="EB Garamond"/>
          <w:sz w:val="34"/>
          <w:szCs w:val="34"/>
        </w:rPr>
      </w:pPr>
      <w:r>
        <w:rPr>
          <w:rFonts w:ascii="EB Garamond" w:eastAsia="EB Garamond" w:hAnsi="EB Garamond" w:cs="EB Garamond"/>
          <w:b/>
          <w:sz w:val="34"/>
          <w:szCs w:val="34"/>
          <w:u w:val="single"/>
        </w:rPr>
        <w:t>Laboratory Safety Review Checklist</w:t>
      </w:r>
    </w:p>
    <w:tbl>
      <w:tblPr>
        <w:tblStyle w:val="a1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C3381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381" w:rsidRDefault="005B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b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b/>
                <w:sz w:val="28"/>
                <w:szCs w:val="28"/>
              </w:rPr>
              <w:t>Building: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381" w:rsidRDefault="005B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b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b/>
                <w:sz w:val="28"/>
                <w:szCs w:val="28"/>
              </w:rPr>
              <w:t>Review Date:</w:t>
            </w:r>
          </w:p>
        </w:tc>
      </w:tr>
      <w:tr w:rsidR="006C3381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381" w:rsidRDefault="005B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b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b/>
                <w:sz w:val="28"/>
                <w:szCs w:val="28"/>
              </w:rPr>
              <w:t>Room Number: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381" w:rsidRDefault="005B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b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b/>
                <w:sz w:val="28"/>
                <w:szCs w:val="28"/>
              </w:rPr>
              <w:t>Reviewer Name(s):</w:t>
            </w:r>
          </w:p>
        </w:tc>
      </w:tr>
      <w:tr w:rsidR="006C3381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381" w:rsidRDefault="005B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b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b/>
                <w:sz w:val="28"/>
                <w:szCs w:val="28"/>
              </w:rPr>
              <w:t>Department: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381" w:rsidRDefault="005B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 Garamond" w:eastAsia="EB Garamond" w:hAnsi="EB Garamond" w:cs="EB Garamond"/>
                <w:b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b/>
                <w:sz w:val="28"/>
                <w:szCs w:val="28"/>
              </w:rPr>
              <w:t>PI/Lab Manager:</w:t>
            </w:r>
          </w:p>
        </w:tc>
      </w:tr>
    </w:tbl>
    <w:p w:rsidR="006C3381" w:rsidRDefault="006C3381">
      <w:pPr>
        <w:rPr>
          <w:rFonts w:ascii="EB Garamond" w:eastAsia="EB Garamond" w:hAnsi="EB Garamond" w:cs="EB Garamond"/>
          <w:b/>
          <w:sz w:val="4"/>
          <w:szCs w:val="4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C3381">
        <w:trPr>
          <w:trHeight w:val="3954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3381" w:rsidRDefault="005B5559">
            <w:pPr>
              <w:jc w:val="center"/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24"/>
                <w:szCs w:val="24"/>
              </w:rPr>
              <w:t>Legend</w:t>
            </w:r>
          </w:p>
          <w:p w:rsidR="006C3381" w:rsidRDefault="005B5559">
            <w:pPr>
              <w:rPr>
                <w:rFonts w:ascii="EB Garamond" w:eastAsia="EB Garamond" w:hAnsi="EB Garamond" w:cs="EB Garamond"/>
                <w:i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Y</w:t>
            </w:r>
            <w:r>
              <w:rPr>
                <w:rFonts w:ascii="EB Garamond" w:eastAsia="EB Garamond" w:hAnsi="EB Garamond" w:cs="EB Garamond"/>
                <w:sz w:val="18"/>
                <w:szCs w:val="18"/>
              </w:rPr>
              <w:t xml:space="preserve">: Yes, this item was found to be in compliance. </w:t>
            </w:r>
            <w:r>
              <w:rPr>
                <w:rFonts w:ascii="EB Garamond" w:eastAsia="EB Garamond" w:hAnsi="EB Garamond" w:cs="EB Garamond"/>
                <w:i/>
                <w:sz w:val="18"/>
                <w:szCs w:val="18"/>
              </w:rPr>
              <w:t>No further action is required.</w:t>
            </w:r>
          </w:p>
          <w:p w:rsidR="006C3381" w:rsidRDefault="005B5559">
            <w:pPr>
              <w:rPr>
                <w:rFonts w:ascii="EB Garamond" w:eastAsia="EB Garamond" w:hAnsi="EB Garamond" w:cs="EB Garamond"/>
                <w:i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N</w:t>
            </w:r>
            <w:r>
              <w:rPr>
                <w:rFonts w:ascii="EB Garamond" w:eastAsia="EB Garamond" w:hAnsi="EB Garamond" w:cs="EB Garamond"/>
                <w:sz w:val="18"/>
                <w:szCs w:val="18"/>
              </w:rPr>
              <w:t xml:space="preserve">: No, this item was found to be out of compliance. </w:t>
            </w:r>
            <w:r>
              <w:rPr>
                <w:rFonts w:ascii="EB Garamond" w:eastAsia="EB Garamond" w:hAnsi="EB Garamond" w:cs="EB Garamond"/>
                <w:i/>
                <w:sz w:val="18"/>
                <w:szCs w:val="18"/>
              </w:rPr>
              <w:t>Action needs to be taken within one month after the report is submitted by Compliance.</w:t>
            </w:r>
          </w:p>
          <w:p w:rsidR="006C3381" w:rsidRDefault="005B5559">
            <w:pPr>
              <w:rPr>
                <w:rFonts w:ascii="EB Garamond" w:eastAsia="EB Garamond" w:hAnsi="EB Garamond" w:cs="EB Garamond"/>
                <w:i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N/A</w:t>
            </w:r>
            <w:r>
              <w:rPr>
                <w:rFonts w:ascii="EB Garamond" w:eastAsia="EB Garamond" w:hAnsi="EB Garamond" w:cs="EB Garamond"/>
                <w:sz w:val="18"/>
                <w:szCs w:val="18"/>
              </w:rPr>
              <w:t xml:space="preserve">: Not Applicable. This item is not applicable to the laboratory space. </w:t>
            </w:r>
            <w:r>
              <w:rPr>
                <w:rFonts w:ascii="EB Garamond" w:eastAsia="EB Garamond" w:hAnsi="EB Garamond" w:cs="EB Garamond"/>
                <w:i/>
                <w:sz w:val="18"/>
                <w:szCs w:val="18"/>
              </w:rPr>
              <w:t>No further action is required.</w:t>
            </w:r>
          </w:p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ICR</w:t>
            </w:r>
            <w:r>
              <w:rPr>
                <w:rFonts w:ascii="EB Garamond" w:eastAsia="EB Garamond" w:hAnsi="EB Garamond" w:cs="EB Garamond"/>
                <w:sz w:val="18"/>
                <w:szCs w:val="18"/>
              </w:rPr>
              <w:t>: Immediate Correction is Required.</w:t>
            </w:r>
            <w:r>
              <w:rPr>
                <w:rFonts w:ascii="EB Garamond" w:eastAsia="EB Garamond" w:hAnsi="EB Garamond" w:cs="EB Garamond"/>
                <w:i/>
                <w:sz w:val="18"/>
                <w:szCs w:val="18"/>
              </w:rPr>
              <w:t xml:space="preserve"> Action needs to be taken within 48 </w:t>
            </w:r>
            <w:proofErr w:type="spellStart"/>
            <w:r>
              <w:rPr>
                <w:rFonts w:ascii="EB Garamond" w:eastAsia="EB Garamond" w:hAnsi="EB Garamond" w:cs="EB Garamond"/>
                <w:i/>
                <w:sz w:val="18"/>
                <w:szCs w:val="18"/>
              </w:rPr>
              <w:t>hrs</w:t>
            </w:r>
            <w:proofErr w:type="spellEnd"/>
            <w:r>
              <w:rPr>
                <w:rFonts w:ascii="EB Garamond" w:eastAsia="EB Garamond" w:hAnsi="EB Garamond" w:cs="EB Garamond"/>
                <w:i/>
                <w:sz w:val="18"/>
                <w:szCs w:val="18"/>
              </w:rPr>
              <w:t xml:space="preserve"> or less depending on severity of findings.</w:t>
            </w:r>
          </w:p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*</w:t>
            </w:r>
            <w:r>
              <w:rPr>
                <w:rFonts w:ascii="EB Garamond" w:eastAsia="EB Garamond" w:hAnsi="EB Garamond" w:cs="EB Garamond"/>
                <w:sz w:val="18"/>
                <w:szCs w:val="18"/>
              </w:rPr>
              <w:t>: Indicates that this item is only applicable for areas that use and/or store chemical, compressed gasses, cryogenics, lasers, and mechanical hazards</w:t>
            </w:r>
          </w:p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**</w:t>
            </w:r>
            <w:r>
              <w:rPr>
                <w:rFonts w:ascii="EB Garamond" w:eastAsia="EB Garamond" w:hAnsi="EB Garamond" w:cs="EB Garamond"/>
                <w:sz w:val="18"/>
                <w:szCs w:val="18"/>
              </w:rPr>
              <w:t>: Indicates that this item is only applicable for areas where chemicals are stored and/or used</w:t>
            </w:r>
          </w:p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***</w:t>
            </w:r>
            <w:r>
              <w:rPr>
                <w:rFonts w:ascii="EB Garamond" w:eastAsia="EB Garamond" w:hAnsi="EB Garamond" w:cs="EB Garamond"/>
                <w:sz w:val="18"/>
                <w:szCs w:val="18"/>
              </w:rPr>
              <w:t>: Indicates that this item is only applicable to areas where corrosive and/or flammable chemicals are stored and/or used</w:t>
            </w:r>
          </w:p>
          <w:p w:rsidR="006C3381" w:rsidRDefault="006C3381">
            <w:pPr>
              <w:widowControl w:val="0"/>
              <w:spacing w:after="0" w:line="240" w:lineRule="auto"/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</w:p>
        </w:tc>
      </w:tr>
    </w:tbl>
    <w:p w:rsidR="006C3381" w:rsidRDefault="006C3381">
      <w:pPr>
        <w:rPr>
          <w:rFonts w:ascii="EB Garamond" w:eastAsia="EB Garamond" w:hAnsi="EB Garamond" w:cs="EB Garamond"/>
          <w:sz w:val="2"/>
          <w:szCs w:val="2"/>
        </w:rPr>
      </w:pPr>
    </w:p>
    <w:tbl>
      <w:tblPr>
        <w:tblStyle w:val="a3"/>
        <w:tblW w:w="93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5"/>
        <w:gridCol w:w="630"/>
        <w:gridCol w:w="600"/>
        <w:gridCol w:w="600"/>
        <w:gridCol w:w="570"/>
      </w:tblGrid>
      <w:tr w:rsidR="006C3381">
        <w:trPr>
          <w:trHeight w:val="367"/>
        </w:trPr>
        <w:tc>
          <w:tcPr>
            <w:tcW w:w="8205" w:type="dxa"/>
            <w:gridSpan w:val="3"/>
            <w:shd w:val="clear" w:color="auto" w:fill="0C2753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Access Door Postings and Other Safety Posting/Signage</w:t>
            </w:r>
          </w:p>
        </w:tc>
        <w:tc>
          <w:tcPr>
            <w:tcW w:w="600" w:type="dxa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N/A</w:t>
            </w:r>
          </w:p>
        </w:tc>
        <w:tc>
          <w:tcPr>
            <w:tcW w:w="570" w:type="dxa"/>
          </w:tcPr>
          <w:p w:rsidR="006C3381" w:rsidRDefault="006C3381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</w:p>
        </w:tc>
      </w:tr>
      <w:tr w:rsidR="006C3381">
        <w:trPr>
          <w:trHeight w:val="409"/>
        </w:trPr>
        <w:tc>
          <w:tcPr>
            <w:tcW w:w="6975" w:type="dxa"/>
            <w:shd w:val="clear" w:color="auto" w:fill="78291C"/>
          </w:tcPr>
          <w:p w:rsidR="006C3381" w:rsidRDefault="005B5559">
            <w:pPr>
              <w:spacing w:after="160" w:line="259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Regulation Description</w:t>
            </w:r>
          </w:p>
        </w:tc>
        <w:tc>
          <w:tcPr>
            <w:tcW w:w="630" w:type="dxa"/>
            <w:shd w:val="clear" w:color="auto" w:fill="78291C"/>
          </w:tcPr>
          <w:p w:rsidR="006C3381" w:rsidRDefault="005B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Yes</w:t>
            </w:r>
          </w:p>
        </w:tc>
        <w:tc>
          <w:tcPr>
            <w:tcW w:w="600" w:type="dxa"/>
            <w:shd w:val="clear" w:color="auto" w:fill="78291C"/>
          </w:tcPr>
          <w:p w:rsidR="006C3381" w:rsidRDefault="005B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600" w:type="dxa"/>
            <w:shd w:val="clear" w:color="auto" w:fill="78291C"/>
          </w:tcPr>
          <w:p w:rsidR="006C3381" w:rsidRDefault="005B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N/A</w:t>
            </w:r>
          </w:p>
        </w:tc>
        <w:tc>
          <w:tcPr>
            <w:tcW w:w="570" w:type="dxa"/>
            <w:shd w:val="clear" w:color="auto" w:fill="78291C"/>
          </w:tcPr>
          <w:p w:rsidR="006C3381" w:rsidRDefault="005B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ICR</w:t>
            </w:r>
          </w:p>
        </w:tc>
      </w:tr>
      <w:tr w:rsidR="006C3381">
        <w:tc>
          <w:tcPr>
            <w:tcW w:w="6975" w:type="dxa"/>
          </w:tcPr>
          <w:p w:rsidR="006C3381" w:rsidRDefault="005B5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 xml:space="preserve">Up to date </w:t>
            </w: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Primary and Secondary Contact Information</w:t>
            </w:r>
            <w:r>
              <w:rPr>
                <w:rFonts w:ascii="EB Garamond" w:eastAsia="EB Garamond" w:hAnsi="EB Garamond" w:cs="EB Garamond"/>
                <w:sz w:val="18"/>
                <w:szCs w:val="18"/>
              </w:rPr>
              <w:t>*</w:t>
            </w:r>
          </w:p>
        </w:tc>
        <w:tc>
          <w:tcPr>
            <w:tcW w:w="630" w:type="dxa"/>
          </w:tcPr>
          <w:p w:rsidR="006C3381" w:rsidRDefault="006C3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360"/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360"/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360"/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360"/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 xml:space="preserve">General hazard warnings and entry restrictions are posted on access </w:t>
            </w:r>
            <w:r>
              <w:rPr>
                <w:rFonts w:ascii="EB Garamond" w:eastAsia="EB Garamond" w:hAnsi="EB Garamond" w:cs="EB Garamond"/>
                <w:sz w:val="18"/>
                <w:szCs w:val="18"/>
              </w:rPr>
              <w:t xml:space="preserve">doors* </w:t>
            </w:r>
          </w:p>
        </w:tc>
        <w:tc>
          <w:tcPr>
            <w:tcW w:w="630" w:type="dxa"/>
          </w:tcPr>
          <w:p w:rsidR="006C3381" w:rsidRDefault="006C3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360"/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360"/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360"/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360"/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  <w:t>Posting describing areas where food and drink are not allowed are visible</w:t>
            </w:r>
            <w:r>
              <w:rPr>
                <w:rFonts w:ascii="EB Garamond" w:eastAsia="EB Garamond" w:hAnsi="EB Garamond" w:cs="EB Garamond"/>
                <w:sz w:val="18"/>
                <w:szCs w:val="18"/>
              </w:rPr>
              <w:t>**</w:t>
            </w:r>
          </w:p>
        </w:tc>
        <w:tc>
          <w:tcPr>
            <w:tcW w:w="630" w:type="dxa"/>
          </w:tcPr>
          <w:p w:rsidR="006C3381" w:rsidRDefault="006C3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360"/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360"/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360"/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360"/>
              <w:rPr>
                <w:rFonts w:ascii="EB Garamond" w:eastAsia="EB Garamond" w:hAnsi="EB Garamond" w:cs="EB Garamond"/>
                <w:color w:val="000000"/>
                <w:sz w:val="18"/>
                <w:szCs w:val="18"/>
              </w:rPr>
            </w:pPr>
          </w:p>
        </w:tc>
      </w:tr>
    </w:tbl>
    <w:p w:rsidR="006C3381" w:rsidRDefault="006C3381">
      <w:pPr>
        <w:rPr>
          <w:rFonts w:ascii="EB Garamond" w:eastAsia="EB Garamond" w:hAnsi="EB Garamond" w:cs="EB Garamond"/>
          <w:sz w:val="2"/>
          <w:szCs w:val="2"/>
        </w:rPr>
      </w:pPr>
    </w:p>
    <w:p w:rsidR="002920BD" w:rsidRDefault="002920BD">
      <w:pPr>
        <w:rPr>
          <w:rFonts w:ascii="EB Garamond" w:eastAsia="EB Garamond" w:hAnsi="EB Garamond" w:cs="EB Garamond"/>
          <w:sz w:val="2"/>
          <w:szCs w:val="2"/>
        </w:rPr>
      </w:pPr>
    </w:p>
    <w:p w:rsidR="00CB73D2" w:rsidRDefault="00CB73D2">
      <w:pPr>
        <w:rPr>
          <w:rFonts w:ascii="EB Garamond" w:eastAsia="EB Garamond" w:hAnsi="EB Garamond" w:cs="EB Garamond"/>
          <w:sz w:val="2"/>
          <w:szCs w:val="2"/>
        </w:rPr>
      </w:pPr>
    </w:p>
    <w:p w:rsidR="00CB73D2" w:rsidRDefault="00CB73D2">
      <w:pPr>
        <w:rPr>
          <w:rFonts w:ascii="EB Garamond" w:eastAsia="EB Garamond" w:hAnsi="EB Garamond" w:cs="EB Garamond"/>
          <w:sz w:val="2"/>
          <w:szCs w:val="2"/>
        </w:rPr>
      </w:pPr>
    </w:p>
    <w:p w:rsidR="00CB73D2" w:rsidRDefault="00CB73D2">
      <w:pPr>
        <w:rPr>
          <w:rFonts w:ascii="EB Garamond" w:eastAsia="EB Garamond" w:hAnsi="EB Garamond" w:cs="EB Garamond"/>
          <w:sz w:val="2"/>
          <w:szCs w:val="2"/>
        </w:rPr>
      </w:pPr>
    </w:p>
    <w:p w:rsidR="002920BD" w:rsidRDefault="002920BD">
      <w:pPr>
        <w:rPr>
          <w:rFonts w:ascii="EB Garamond" w:eastAsia="EB Garamond" w:hAnsi="EB Garamond" w:cs="EB Garamond"/>
          <w:sz w:val="2"/>
          <w:szCs w:val="2"/>
        </w:rPr>
      </w:pPr>
    </w:p>
    <w:p w:rsidR="002920BD" w:rsidRDefault="002920BD">
      <w:pPr>
        <w:rPr>
          <w:rFonts w:ascii="EB Garamond" w:eastAsia="EB Garamond" w:hAnsi="EB Garamond" w:cs="EB Garamond"/>
          <w:sz w:val="2"/>
          <w:szCs w:val="2"/>
        </w:rPr>
      </w:pPr>
    </w:p>
    <w:p w:rsidR="002920BD" w:rsidRDefault="002920BD">
      <w:pPr>
        <w:rPr>
          <w:rFonts w:ascii="EB Garamond" w:eastAsia="EB Garamond" w:hAnsi="EB Garamond" w:cs="EB Garamond"/>
          <w:sz w:val="2"/>
          <w:szCs w:val="2"/>
        </w:rPr>
      </w:pPr>
    </w:p>
    <w:tbl>
      <w:tblPr>
        <w:tblStyle w:val="a4"/>
        <w:tblW w:w="93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5"/>
        <w:gridCol w:w="630"/>
        <w:gridCol w:w="600"/>
        <w:gridCol w:w="600"/>
        <w:gridCol w:w="570"/>
      </w:tblGrid>
      <w:tr w:rsidR="006C3381">
        <w:trPr>
          <w:trHeight w:val="180"/>
        </w:trPr>
        <w:tc>
          <w:tcPr>
            <w:tcW w:w="8205" w:type="dxa"/>
            <w:gridSpan w:val="3"/>
            <w:shd w:val="clear" w:color="auto" w:fill="0C2753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</w:pPr>
            <w:bookmarkStart w:id="0" w:name="_heading=h.xb20iah36tfx" w:colFirst="0" w:colLast="0"/>
            <w:bookmarkEnd w:id="0"/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lastRenderedPageBreak/>
              <w:t>Required Safety Equipment</w:t>
            </w:r>
          </w:p>
        </w:tc>
        <w:tc>
          <w:tcPr>
            <w:tcW w:w="600" w:type="dxa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N/A</w:t>
            </w:r>
          </w:p>
        </w:tc>
        <w:tc>
          <w:tcPr>
            <w:tcW w:w="570" w:type="dxa"/>
          </w:tcPr>
          <w:p w:rsidR="006C3381" w:rsidRDefault="006C3381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</w:p>
        </w:tc>
      </w:tr>
      <w:tr w:rsidR="006C3381">
        <w:trPr>
          <w:trHeight w:val="180"/>
        </w:trPr>
        <w:tc>
          <w:tcPr>
            <w:tcW w:w="6975" w:type="dxa"/>
            <w:shd w:val="clear" w:color="auto" w:fill="78291C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Regulation Description</w:t>
            </w:r>
          </w:p>
        </w:tc>
        <w:tc>
          <w:tcPr>
            <w:tcW w:w="63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Yes</w:t>
            </w:r>
          </w:p>
        </w:tc>
        <w:tc>
          <w:tcPr>
            <w:tcW w:w="60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60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N/A</w:t>
            </w:r>
          </w:p>
        </w:tc>
        <w:tc>
          <w:tcPr>
            <w:tcW w:w="57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ICR</w:t>
            </w: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Fire extinguisher is within 75 feet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Fire extinguisher is unobstructed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Fire extinguisher is properly mounted and is not on the floor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Fire extinguisher has been inspected within the last year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Fire extinguisher seal is unbroken and extinguisher is fully charged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Fire extinguisher is appropriate for type of hazards present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Safety Shower is available within 10 seconds travel time***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Safety Shower is unobstructed***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Safety Shower has been inspected within the last year***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Eyewash is available within 10 seconds of travel time***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Eyewash is unobstructed***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Eyewash has been inspected within the last year***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Exit signs/Emergency lighting is adequate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Appropriate chemical spill kits are available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</w:tbl>
    <w:p w:rsidR="006C3381" w:rsidRDefault="006C3381">
      <w:pPr>
        <w:rPr>
          <w:rFonts w:ascii="EB Garamond" w:eastAsia="EB Garamond" w:hAnsi="EB Garamond" w:cs="EB Garamond"/>
          <w:sz w:val="2"/>
          <w:szCs w:val="2"/>
        </w:rPr>
      </w:pPr>
    </w:p>
    <w:tbl>
      <w:tblPr>
        <w:tblStyle w:val="a5"/>
        <w:tblW w:w="93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5"/>
        <w:gridCol w:w="630"/>
        <w:gridCol w:w="600"/>
        <w:gridCol w:w="600"/>
        <w:gridCol w:w="570"/>
      </w:tblGrid>
      <w:tr w:rsidR="006C3381">
        <w:trPr>
          <w:trHeight w:val="180"/>
        </w:trPr>
        <w:tc>
          <w:tcPr>
            <w:tcW w:w="6975" w:type="dxa"/>
            <w:shd w:val="clear" w:color="auto" w:fill="0C2753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Personal Protective Equipment (PPE)</w:t>
            </w:r>
          </w:p>
        </w:tc>
        <w:tc>
          <w:tcPr>
            <w:tcW w:w="630" w:type="dxa"/>
            <w:shd w:val="clear" w:color="auto" w:fill="0C2753"/>
          </w:tcPr>
          <w:p w:rsidR="006C3381" w:rsidRDefault="006C338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0C2753"/>
          </w:tcPr>
          <w:p w:rsidR="006C3381" w:rsidRDefault="006C3381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N/A</w:t>
            </w:r>
          </w:p>
        </w:tc>
        <w:tc>
          <w:tcPr>
            <w:tcW w:w="570" w:type="dxa"/>
          </w:tcPr>
          <w:p w:rsidR="006C3381" w:rsidRDefault="006C3381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</w:p>
        </w:tc>
      </w:tr>
      <w:tr w:rsidR="006C3381">
        <w:trPr>
          <w:trHeight w:val="180"/>
        </w:trPr>
        <w:tc>
          <w:tcPr>
            <w:tcW w:w="6975" w:type="dxa"/>
            <w:shd w:val="clear" w:color="auto" w:fill="78291C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Regulation Description</w:t>
            </w:r>
          </w:p>
        </w:tc>
        <w:tc>
          <w:tcPr>
            <w:tcW w:w="63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Yes</w:t>
            </w:r>
          </w:p>
        </w:tc>
        <w:tc>
          <w:tcPr>
            <w:tcW w:w="60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60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N/A</w:t>
            </w:r>
          </w:p>
        </w:tc>
        <w:tc>
          <w:tcPr>
            <w:tcW w:w="57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ICR</w:t>
            </w: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Appropriate PPE is readily available (eyewear, lab coats, apron, gloves, etc.)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Appropriate PPE is worn when required and/or posted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</w:tbl>
    <w:p w:rsidR="006C3381" w:rsidRDefault="006C3381">
      <w:pPr>
        <w:rPr>
          <w:rFonts w:ascii="EB Garamond" w:eastAsia="EB Garamond" w:hAnsi="EB Garamond" w:cs="EB Garamond"/>
          <w:sz w:val="6"/>
          <w:szCs w:val="6"/>
        </w:rPr>
      </w:pPr>
    </w:p>
    <w:tbl>
      <w:tblPr>
        <w:tblStyle w:val="a6"/>
        <w:tblW w:w="93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5"/>
        <w:gridCol w:w="630"/>
        <w:gridCol w:w="600"/>
        <w:gridCol w:w="600"/>
        <w:gridCol w:w="570"/>
      </w:tblGrid>
      <w:tr w:rsidR="006C3381">
        <w:trPr>
          <w:trHeight w:val="180"/>
        </w:trPr>
        <w:tc>
          <w:tcPr>
            <w:tcW w:w="8205" w:type="dxa"/>
            <w:gridSpan w:val="3"/>
            <w:shd w:val="clear" w:color="auto" w:fill="0C2753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General Safety</w:t>
            </w:r>
          </w:p>
        </w:tc>
        <w:tc>
          <w:tcPr>
            <w:tcW w:w="600" w:type="dxa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N/A</w:t>
            </w:r>
          </w:p>
        </w:tc>
        <w:tc>
          <w:tcPr>
            <w:tcW w:w="570" w:type="dxa"/>
          </w:tcPr>
          <w:p w:rsidR="006C3381" w:rsidRDefault="006C3381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</w:p>
        </w:tc>
      </w:tr>
      <w:tr w:rsidR="006C3381">
        <w:trPr>
          <w:trHeight w:val="180"/>
        </w:trPr>
        <w:tc>
          <w:tcPr>
            <w:tcW w:w="6975" w:type="dxa"/>
            <w:shd w:val="clear" w:color="auto" w:fill="78291C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Regulation Description</w:t>
            </w:r>
          </w:p>
        </w:tc>
        <w:tc>
          <w:tcPr>
            <w:tcW w:w="63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Yes</w:t>
            </w:r>
          </w:p>
        </w:tc>
        <w:tc>
          <w:tcPr>
            <w:tcW w:w="60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60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N/A</w:t>
            </w:r>
          </w:p>
        </w:tc>
        <w:tc>
          <w:tcPr>
            <w:tcW w:w="57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ICR</w:t>
            </w: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Area walkways and doorways are unobstructed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Excess clutter is not present in the area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No evidence of eating/drinking in areas where hazardous chemicals are stored or used.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 xml:space="preserve">Access to area is secured 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</w:tbl>
    <w:p w:rsidR="002920BD" w:rsidRDefault="002920BD">
      <w:pPr>
        <w:rPr>
          <w:rFonts w:ascii="EB Garamond" w:eastAsia="EB Garamond" w:hAnsi="EB Garamond" w:cs="EB Garamond"/>
          <w:sz w:val="2"/>
          <w:szCs w:val="2"/>
        </w:rPr>
      </w:pPr>
    </w:p>
    <w:p w:rsidR="002920BD" w:rsidRDefault="002920BD">
      <w:pPr>
        <w:rPr>
          <w:rFonts w:ascii="EB Garamond" w:eastAsia="EB Garamond" w:hAnsi="EB Garamond" w:cs="EB Garamond"/>
          <w:sz w:val="2"/>
          <w:szCs w:val="2"/>
        </w:rPr>
      </w:pPr>
    </w:p>
    <w:tbl>
      <w:tblPr>
        <w:tblStyle w:val="a7"/>
        <w:tblW w:w="93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5"/>
        <w:gridCol w:w="630"/>
        <w:gridCol w:w="600"/>
        <w:gridCol w:w="600"/>
        <w:gridCol w:w="570"/>
      </w:tblGrid>
      <w:tr w:rsidR="006C3381">
        <w:trPr>
          <w:trHeight w:val="180"/>
        </w:trPr>
        <w:tc>
          <w:tcPr>
            <w:tcW w:w="8205" w:type="dxa"/>
            <w:gridSpan w:val="3"/>
            <w:shd w:val="clear" w:color="auto" w:fill="0C2753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Safety Procedures</w:t>
            </w:r>
          </w:p>
        </w:tc>
        <w:tc>
          <w:tcPr>
            <w:tcW w:w="600" w:type="dxa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N/A</w:t>
            </w:r>
          </w:p>
        </w:tc>
        <w:tc>
          <w:tcPr>
            <w:tcW w:w="570" w:type="dxa"/>
          </w:tcPr>
          <w:p w:rsidR="006C3381" w:rsidRDefault="006C3381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</w:p>
        </w:tc>
      </w:tr>
      <w:tr w:rsidR="006C3381">
        <w:trPr>
          <w:trHeight w:val="180"/>
        </w:trPr>
        <w:tc>
          <w:tcPr>
            <w:tcW w:w="6975" w:type="dxa"/>
            <w:shd w:val="clear" w:color="auto" w:fill="78291C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Regulation Description</w:t>
            </w:r>
          </w:p>
        </w:tc>
        <w:tc>
          <w:tcPr>
            <w:tcW w:w="63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Yes</w:t>
            </w:r>
          </w:p>
        </w:tc>
        <w:tc>
          <w:tcPr>
            <w:tcW w:w="60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60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N/A</w:t>
            </w:r>
          </w:p>
        </w:tc>
        <w:tc>
          <w:tcPr>
            <w:tcW w:w="57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ICR</w:t>
            </w: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Lab-specific emergency procedures are readily available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Written chemical spill procedures are readily available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Written Standard Operating Procedures (SOPs) for high hazard materials and process are readily available</w:t>
            </w: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</w:tbl>
    <w:p w:rsidR="006C3381" w:rsidRDefault="006C3381">
      <w:pPr>
        <w:rPr>
          <w:rFonts w:ascii="EB Garamond" w:eastAsia="EB Garamond" w:hAnsi="EB Garamond" w:cs="EB Garamond"/>
          <w:sz w:val="2"/>
          <w:szCs w:val="2"/>
        </w:rPr>
      </w:pPr>
    </w:p>
    <w:tbl>
      <w:tblPr>
        <w:tblStyle w:val="a8"/>
        <w:tblW w:w="93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5"/>
        <w:gridCol w:w="630"/>
        <w:gridCol w:w="600"/>
        <w:gridCol w:w="600"/>
        <w:gridCol w:w="570"/>
      </w:tblGrid>
      <w:tr w:rsidR="006C3381">
        <w:trPr>
          <w:trHeight w:val="180"/>
        </w:trPr>
        <w:tc>
          <w:tcPr>
            <w:tcW w:w="8205" w:type="dxa"/>
            <w:gridSpan w:val="3"/>
            <w:shd w:val="clear" w:color="auto" w:fill="0C2753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lastRenderedPageBreak/>
              <w:t>Chemical Inventory/ Chemical Safety Data Sheets (SDS)</w:t>
            </w:r>
          </w:p>
        </w:tc>
        <w:tc>
          <w:tcPr>
            <w:tcW w:w="600" w:type="dxa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N/A</w:t>
            </w:r>
          </w:p>
        </w:tc>
        <w:tc>
          <w:tcPr>
            <w:tcW w:w="570" w:type="dxa"/>
          </w:tcPr>
          <w:p w:rsidR="006C3381" w:rsidRDefault="006C3381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</w:p>
        </w:tc>
      </w:tr>
      <w:tr w:rsidR="006C3381">
        <w:trPr>
          <w:trHeight w:val="180"/>
        </w:trPr>
        <w:tc>
          <w:tcPr>
            <w:tcW w:w="6975" w:type="dxa"/>
            <w:shd w:val="clear" w:color="auto" w:fill="78291C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Regulation Description</w:t>
            </w:r>
          </w:p>
        </w:tc>
        <w:tc>
          <w:tcPr>
            <w:tcW w:w="63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Yes</w:t>
            </w:r>
          </w:p>
        </w:tc>
        <w:tc>
          <w:tcPr>
            <w:tcW w:w="60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60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N/A</w:t>
            </w:r>
          </w:p>
        </w:tc>
        <w:tc>
          <w:tcPr>
            <w:tcW w:w="57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ICR</w:t>
            </w: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Printed copy of room inventory is readily available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Room chemical inventory is complete and accurate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Chemical SDS’s are readily available for all chemicals present in room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</w:tbl>
    <w:p w:rsidR="006C3381" w:rsidRDefault="006C3381">
      <w:pPr>
        <w:rPr>
          <w:rFonts w:ascii="EB Garamond" w:eastAsia="EB Garamond" w:hAnsi="EB Garamond" w:cs="EB Garamond"/>
          <w:sz w:val="2"/>
          <w:szCs w:val="2"/>
        </w:rPr>
      </w:pPr>
    </w:p>
    <w:tbl>
      <w:tblPr>
        <w:tblStyle w:val="a9"/>
        <w:tblW w:w="93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5"/>
        <w:gridCol w:w="630"/>
        <w:gridCol w:w="600"/>
        <w:gridCol w:w="600"/>
        <w:gridCol w:w="570"/>
      </w:tblGrid>
      <w:tr w:rsidR="006C3381">
        <w:trPr>
          <w:trHeight w:val="180"/>
        </w:trPr>
        <w:tc>
          <w:tcPr>
            <w:tcW w:w="8205" w:type="dxa"/>
            <w:gridSpan w:val="3"/>
            <w:shd w:val="clear" w:color="auto" w:fill="0C2753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Electrical Hazards</w:t>
            </w:r>
          </w:p>
        </w:tc>
        <w:tc>
          <w:tcPr>
            <w:tcW w:w="600" w:type="dxa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N/A</w:t>
            </w:r>
          </w:p>
        </w:tc>
        <w:tc>
          <w:tcPr>
            <w:tcW w:w="570" w:type="dxa"/>
          </w:tcPr>
          <w:p w:rsidR="006C3381" w:rsidRDefault="006C3381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</w:p>
        </w:tc>
      </w:tr>
      <w:tr w:rsidR="006C3381">
        <w:trPr>
          <w:trHeight w:val="180"/>
        </w:trPr>
        <w:tc>
          <w:tcPr>
            <w:tcW w:w="6975" w:type="dxa"/>
            <w:shd w:val="clear" w:color="auto" w:fill="78291C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Regulation Description</w:t>
            </w:r>
          </w:p>
        </w:tc>
        <w:tc>
          <w:tcPr>
            <w:tcW w:w="63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Yes</w:t>
            </w:r>
          </w:p>
        </w:tc>
        <w:tc>
          <w:tcPr>
            <w:tcW w:w="60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60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N/A</w:t>
            </w:r>
          </w:p>
        </w:tc>
        <w:tc>
          <w:tcPr>
            <w:tcW w:w="57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ICR</w:t>
            </w: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Electrical cords do not pose a tripping hazard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Power strip with surge protection used for high power equipment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Electrical cords are not frayed or damaged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3-pronged plugs are not altered (i.e. the ground prong removed)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Electrical outlets by sinks or water sources are GFCI outlets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Electrical panel is unobstructed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Extension cables are not plugged into each other (“daisy-chained”)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</w:tbl>
    <w:p w:rsidR="006C3381" w:rsidRDefault="006C3381">
      <w:pPr>
        <w:rPr>
          <w:rFonts w:ascii="EB Garamond" w:eastAsia="EB Garamond" w:hAnsi="EB Garamond" w:cs="EB Garamond"/>
          <w:sz w:val="2"/>
          <w:szCs w:val="2"/>
        </w:rPr>
      </w:pPr>
    </w:p>
    <w:tbl>
      <w:tblPr>
        <w:tblStyle w:val="aa"/>
        <w:tblW w:w="93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5"/>
        <w:gridCol w:w="630"/>
        <w:gridCol w:w="600"/>
        <w:gridCol w:w="600"/>
        <w:gridCol w:w="570"/>
      </w:tblGrid>
      <w:tr w:rsidR="006C3381">
        <w:trPr>
          <w:trHeight w:val="180"/>
        </w:trPr>
        <w:tc>
          <w:tcPr>
            <w:tcW w:w="8205" w:type="dxa"/>
            <w:gridSpan w:val="3"/>
            <w:shd w:val="clear" w:color="auto" w:fill="0C2753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Compressed Gas Cylinders</w:t>
            </w:r>
          </w:p>
        </w:tc>
        <w:tc>
          <w:tcPr>
            <w:tcW w:w="600" w:type="dxa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N/A</w:t>
            </w:r>
          </w:p>
        </w:tc>
        <w:tc>
          <w:tcPr>
            <w:tcW w:w="570" w:type="dxa"/>
          </w:tcPr>
          <w:p w:rsidR="006C3381" w:rsidRDefault="006C3381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</w:p>
        </w:tc>
      </w:tr>
      <w:tr w:rsidR="006C3381">
        <w:trPr>
          <w:trHeight w:val="180"/>
        </w:trPr>
        <w:tc>
          <w:tcPr>
            <w:tcW w:w="6975" w:type="dxa"/>
            <w:shd w:val="clear" w:color="auto" w:fill="78291C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Regulation Description</w:t>
            </w:r>
          </w:p>
        </w:tc>
        <w:tc>
          <w:tcPr>
            <w:tcW w:w="63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Yes</w:t>
            </w:r>
          </w:p>
        </w:tc>
        <w:tc>
          <w:tcPr>
            <w:tcW w:w="60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60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N/A</w:t>
            </w:r>
          </w:p>
        </w:tc>
        <w:tc>
          <w:tcPr>
            <w:tcW w:w="57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ICR</w:t>
            </w: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Gas cylinders are properly secured (individual restraints are recommended)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Empty gas cylinders are labeled as “empty”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Gas cylinder caps are on cylinders that are not in use (Regulator is not attached while in storage)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No tape is used on gas cylinder compression fittings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Gas cylinders is labeled with contents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 xml:space="preserve">Room ventilation is adequate where gas cylinders are being used 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Plumbing downstream of gas cylinders regulator is rated to withstand max delivery pressure of the regulator</w:t>
            </w: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Toxic or corrosive gas cylinders are in a mechanically vented closure or have a bonnet vent regulator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Room containing toxic or corrosive gas cylinders has an appropriate gas detection system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There is at least 20 feet of separation between oxidizing gas cylinders and flammable gas cylinders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There are no more than 3 flammable and/or oxygen gas cylinders stored in the same room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There is at least 20 feet of separation between a hydrogen gas cylinder and flammable materials or oxidizers</w:t>
            </w: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There is at least 50 feet of separation between a hydrogen gas cylinder and flammable gas cylinders, air intakes, or air compressors</w:t>
            </w: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lastRenderedPageBreak/>
              <w:t>“Hydrogen Flammable Gas – No Smoking/No Open Flames” warning placard is posted near hydrogen gas cylinders</w:t>
            </w: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</w:tbl>
    <w:p w:rsidR="006C3381" w:rsidRDefault="006C3381">
      <w:pPr>
        <w:rPr>
          <w:rFonts w:ascii="EB Garamond" w:eastAsia="EB Garamond" w:hAnsi="EB Garamond" w:cs="EB Garamond"/>
          <w:sz w:val="2"/>
          <w:szCs w:val="2"/>
        </w:rPr>
      </w:pPr>
    </w:p>
    <w:tbl>
      <w:tblPr>
        <w:tblStyle w:val="ab"/>
        <w:tblW w:w="93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5"/>
        <w:gridCol w:w="630"/>
        <w:gridCol w:w="600"/>
        <w:gridCol w:w="600"/>
        <w:gridCol w:w="570"/>
      </w:tblGrid>
      <w:tr w:rsidR="006C3381">
        <w:trPr>
          <w:trHeight w:val="180"/>
        </w:trPr>
        <w:tc>
          <w:tcPr>
            <w:tcW w:w="8205" w:type="dxa"/>
            <w:gridSpan w:val="3"/>
            <w:shd w:val="clear" w:color="auto" w:fill="0C2753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Chemical Storage and Chemical Container Labeling</w:t>
            </w:r>
          </w:p>
        </w:tc>
        <w:tc>
          <w:tcPr>
            <w:tcW w:w="600" w:type="dxa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N/A</w:t>
            </w:r>
          </w:p>
        </w:tc>
        <w:tc>
          <w:tcPr>
            <w:tcW w:w="570" w:type="dxa"/>
          </w:tcPr>
          <w:p w:rsidR="006C3381" w:rsidRDefault="006C3381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</w:p>
        </w:tc>
      </w:tr>
      <w:tr w:rsidR="006C3381">
        <w:trPr>
          <w:trHeight w:val="180"/>
        </w:trPr>
        <w:tc>
          <w:tcPr>
            <w:tcW w:w="6975" w:type="dxa"/>
            <w:shd w:val="clear" w:color="auto" w:fill="78291C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Regulation Description</w:t>
            </w:r>
          </w:p>
        </w:tc>
        <w:tc>
          <w:tcPr>
            <w:tcW w:w="63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Yes</w:t>
            </w:r>
          </w:p>
        </w:tc>
        <w:tc>
          <w:tcPr>
            <w:tcW w:w="60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60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N/A</w:t>
            </w:r>
          </w:p>
        </w:tc>
        <w:tc>
          <w:tcPr>
            <w:tcW w:w="57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ICR</w:t>
            </w: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There are no unlabeled chemical containers for chemicals not in immediate use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Chemical containers are properly labeled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Incompatible chemicals are physically separated in storage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Storage trays or secondary containers are compatible with chemicals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Glass chemical containers (&gt;500ml) are stored below eye level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Chemical containers are not stacked on top of each other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Chemical containers on the floor or near a drain are in secondary containment or surrounded by absorbent</w:t>
            </w: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Flammable liquid storage is appropriate for the class and/or quantity of the chemicals stored inside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rPr>
          <w:trHeight w:val="379"/>
        </w:trPr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High hazard chemicals are in marked storage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</w:tbl>
    <w:p w:rsidR="006C3381" w:rsidRDefault="006C3381">
      <w:pPr>
        <w:rPr>
          <w:rFonts w:ascii="EB Garamond" w:eastAsia="EB Garamond" w:hAnsi="EB Garamond" w:cs="EB Garamond"/>
          <w:sz w:val="2"/>
          <w:szCs w:val="2"/>
        </w:rPr>
      </w:pPr>
    </w:p>
    <w:p w:rsidR="006C3381" w:rsidRDefault="006C3381">
      <w:pPr>
        <w:rPr>
          <w:rFonts w:ascii="EB Garamond" w:eastAsia="EB Garamond" w:hAnsi="EB Garamond" w:cs="EB Garamond"/>
          <w:sz w:val="2"/>
          <w:szCs w:val="2"/>
        </w:rPr>
      </w:pPr>
    </w:p>
    <w:tbl>
      <w:tblPr>
        <w:tblStyle w:val="ac"/>
        <w:tblW w:w="93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5"/>
        <w:gridCol w:w="630"/>
        <w:gridCol w:w="600"/>
        <w:gridCol w:w="600"/>
        <w:gridCol w:w="570"/>
      </w:tblGrid>
      <w:tr w:rsidR="006C3381">
        <w:trPr>
          <w:trHeight w:val="180"/>
        </w:trPr>
        <w:tc>
          <w:tcPr>
            <w:tcW w:w="8205" w:type="dxa"/>
            <w:gridSpan w:val="3"/>
            <w:shd w:val="clear" w:color="auto" w:fill="0C2753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Chemical/Hazardous Waste</w:t>
            </w:r>
          </w:p>
        </w:tc>
        <w:tc>
          <w:tcPr>
            <w:tcW w:w="600" w:type="dxa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N/A</w:t>
            </w:r>
          </w:p>
        </w:tc>
        <w:tc>
          <w:tcPr>
            <w:tcW w:w="570" w:type="dxa"/>
          </w:tcPr>
          <w:p w:rsidR="006C3381" w:rsidRDefault="006C3381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</w:p>
        </w:tc>
      </w:tr>
      <w:tr w:rsidR="006C3381">
        <w:trPr>
          <w:trHeight w:val="180"/>
        </w:trPr>
        <w:tc>
          <w:tcPr>
            <w:tcW w:w="6975" w:type="dxa"/>
            <w:shd w:val="clear" w:color="auto" w:fill="78291C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Regulation Description</w:t>
            </w:r>
          </w:p>
        </w:tc>
        <w:tc>
          <w:tcPr>
            <w:tcW w:w="63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Yes</w:t>
            </w:r>
          </w:p>
        </w:tc>
        <w:tc>
          <w:tcPr>
            <w:tcW w:w="60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60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N/A</w:t>
            </w:r>
          </w:p>
        </w:tc>
        <w:tc>
          <w:tcPr>
            <w:tcW w:w="57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ICR</w:t>
            </w: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Chemical waste container label is complete and accurate indicating container contents, chemical composition, and concentration of waste</w:t>
            </w: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Label is physically attached to individual waste containers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Chemical waste container is properly closed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Chemical waste is in compatible containers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Liquid chemical waste no more than 75% full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No evidence of chemical waste container leaking or spilling in storage area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Liquid chemical waste containers stored on the floor or near a drain are in a secondary containment or surrounded by absorbent</w:t>
            </w: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 xml:space="preserve">Incompatible chemical wastes are physically separated in storage 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“Satellite Accumulation Area” sign is posted at designated Waste Accumulation Point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</w:tbl>
    <w:p w:rsidR="006C3381" w:rsidRDefault="006C3381">
      <w:pPr>
        <w:rPr>
          <w:rFonts w:ascii="EB Garamond" w:eastAsia="EB Garamond" w:hAnsi="EB Garamond" w:cs="EB Garamond"/>
          <w:sz w:val="2"/>
          <w:szCs w:val="2"/>
        </w:rPr>
      </w:pPr>
    </w:p>
    <w:tbl>
      <w:tblPr>
        <w:tblStyle w:val="ad"/>
        <w:tblW w:w="93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5"/>
        <w:gridCol w:w="630"/>
        <w:gridCol w:w="600"/>
        <w:gridCol w:w="600"/>
        <w:gridCol w:w="570"/>
      </w:tblGrid>
      <w:tr w:rsidR="006C3381">
        <w:trPr>
          <w:trHeight w:val="180"/>
        </w:trPr>
        <w:tc>
          <w:tcPr>
            <w:tcW w:w="8205" w:type="dxa"/>
            <w:gridSpan w:val="3"/>
            <w:shd w:val="clear" w:color="auto" w:fill="0C2753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Lab Refrigerator, Freezers, and Microwave Ovens</w:t>
            </w:r>
          </w:p>
        </w:tc>
        <w:tc>
          <w:tcPr>
            <w:tcW w:w="600" w:type="dxa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N/A</w:t>
            </w:r>
          </w:p>
        </w:tc>
        <w:tc>
          <w:tcPr>
            <w:tcW w:w="570" w:type="dxa"/>
          </w:tcPr>
          <w:p w:rsidR="006C3381" w:rsidRDefault="006C3381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</w:p>
        </w:tc>
      </w:tr>
      <w:tr w:rsidR="006C3381">
        <w:trPr>
          <w:trHeight w:val="180"/>
        </w:trPr>
        <w:tc>
          <w:tcPr>
            <w:tcW w:w="6975" w:type="dxa"/>
            <w:shd w:val="clear" w:color="auto" w:fill="78291C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Regulation Description</w:t>
            </w:r>
          </w:p>
        </w:tc>
        <w:tc>
          <w:tcPr>
            <w:tcW w:w="63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Yes</w:t>
            </w:r>
          </w:p>
        </w:tc>
        <w:tc>
          <w:tcPr>
            <w:tcW w:w="60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60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N/A</w:t>
            </w:r>
          </w:p>
        </w:tc>
        <w:tc>
          <w:tcPr>
            <w:tcW w:w="57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ICR</w:t>
            </w: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 xml:space="preserve">Lab refrigerator, freezer, or microwave oven has sign with “No food or Drink” posted 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No Food/Drink found in a lab refrigerator, freezer, or microwave oven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</w:tbl>
    <w:p w:rsidR="006C3381" w:rsidRDefault="006C3381">
      <w:pPr>
        <w:rPr>
          <w:rFonts w:ascii="EB Garamond" w:eastAsia="EB Garamond" w:hAnsi="EB Garamond" w:cs="EB Garamond"/>
          <w:sz w:val="2"/>
          <w:szCs w:val="2"/>
        </w:rPr>
      </w:pPr>
    </w:p>
    <w:p w:rsidR="00CB73D2" w:rsidRDefault="00CB73D2">
      <w:pPr>
        <w:rPr>
          <w:rFonts w:ascii="EB Garamond" w:eastAsia="EB Garamond" w:hAnsi="EB Garamond" w:cs="EB Garamond"/>
          <w:sz w:val="2"/>
          <w:szCs w:val="2"/>
        </w:rPr>
      </w:pPr>
    </w:p>
    <w:p w:rsidR="00CB73D2" w:rsidRDefault="00CB73D2">
      <w:pPr>
        <w:rPr>
          <w:rFonts w:ascii="EB Garamond" w:eastAsia="EB Garamond" w:hAnsi="EB Garamond" w:cs="EB Garamond"/>
          <w:sz w:val="2"/>
          <w:szCs w:val="2"/>
        </w:rPr>
      </w:pPr>
    </w:p>
    <w:p w:rsidR="00CB73D2" w:rsidRDefault="00CB73D2">
      <w:pPr>
        <w:rPr>
          <w:rFonts w:ascii="EB Garamond" w:eastAsia="EB Garamond" w:hAnsi="EB Garamond" w:cs="EB Garamond"/>
          <w:sz w:val="2"/>
          <w:szCs w:val="2"/>
        </w:rPr>
      </w:pPr>
    </w:p>
    <w:p w:rsidR="00CB73D2" w:rsidRDefault="00CB73D2">
      <w:pPr>
        <w:rPr>
          <w:rFonts w:ascii="EB Garamond" w:eastAsia="EB Garamond" w:hAnsi="EB Garamond" w:cs="EB Garamond"/>
          <w:sz w:val="2"/>
          <w:szCs w:val="2"/>
        </w:rPr>
      </w:pPr>
    </w:p>
    <w:p w:rsidR="00CB73D2" w:rsidRDefault="00CB73D2">
      <w:pPr>
        <w:rPr>
          <w:rFonts w:ascii="EB Garamond" w:eastAsia="EB Garamond" w:hAnsi="EB Garamond" w:cs="EB Garamond"/>
          <w:sz w:val="2"/>
          <w:szCs w:val="2"/>
        </w:rPr>
      </w:pPr>
    </w:p>
    <w:tbl>
      <w:tblPr>
        <w:tblStyle w:val="ae"/>
        <w:tblW w:w="93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90"/>
        <w:gridCol w:w="645"/>
        <w:gridCol w:w="600"/>
        <w:gridCol w:w="585"/>
        <w:gridCol w:w="555"/>
      </w:tblGrid>
      <w:tr w:rsidR="006C3381">
        <w:trPr>
          <w:trHeight w:val="180"/>
        </w:trPr>
        <w:tc>
          <w:tcPr>
            <w:tcW w:w="8235" w:type="dxa"/>
            <w:gridSpan w:val="3"/>
            <w:shd w:val="clear" w:color="auto" w:fill="0C2753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lastRenderedPageBreak/>
              <w:t>Explosive and Highly Reactive Materials</w:t>
            </w:r>
          </w:p>
        </w:tc>
        <w:tc>
          <w:tcPr>
            <w:tcW w:w="585" w:type="dxa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N/A</w:t>
            </w:r>
          </w:p>
        </w:tc>
        <w:tc>
          <w:tcPr>
            <w:tcW w:w="555" w:type="dxa"/>
          </w:tcPr>
          <w:p w:rsidR="006C3381" w:rsidRDefault="006C3381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</w:p>
        </w:tc>
      </w:tr>
      <w:tr w:rsidR="006C3381">
        <w:trPr>
          <w:trHeight w:val="180"/>
        </w:trPr>
        <w:tc>
          <w:tcPr>
            <w:tcW w:w="6990" w:type="dxa"/>
            <w:shd w:val="clear" w:color="auto" w:fill="78291C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Regulation Description</w:t>
            </w:r>
          </w:p>
        </w:tc>
        <w:tc>
          <w:tcPr>
            <w:tcW w:w="645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Yes</w:t>
            </w:r>
          </w:p>
        </w:tc>
        <w:tc>
          <w:tcPr>
            <w:tcW w:w="60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585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N/A</w:t>
            </w:r>
          </w:p>
        </w:tc>
        <w:tc>
          <w:tcPr>
            <w:tcW w:w="555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ICR</w:t>
            </w:r>
          </w:p>
        </w:tc>
      </w:tr>
      <w:tr w:rsidR="006C3381">
        <w:tc>
          <w:tcPr>
            <w:tcW w:w="6990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Peroxide forming chemicals are marked with receipt date and the date when opened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45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85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55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90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Written SOPs for handling highly reactive or explosive materials are readily available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45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85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55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90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Written SOPs for handling pyrophoric and/or water reactive materials are readily available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45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85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55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90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Pyrophoric and/or water reactive materials are segregated, contained, and labeled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20"/>
                <w:szCs w:val="20"/>
              </w:rPr>
            </w:pPr>
          </w:p>
        </w:tc>
        <w:tc>
          <w:tcPr>
            <w:tcW w:w="645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85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55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</w:tbl>
    <w:p w:rsidR="006C3381" w:rsidRDefault="006C3381">
      <w:pPr>
        <w:rPr>
          <w:rFonts w:ascii="EB Garamond" w:eastAsia="EB Garamond" w:hAnsi="EB Garamond" w:cs="EB Garamond"/>
          <w:sz w:val="2"/>
          <w:szCs w:val="2"/>
        </w:rPr>
      </w:pPr>
    </w:p>
    <w:tbl>
      <w:tblPr>
        <w:tblStyle w:val="af"/>
        <w:tblW w:w="93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5"/>
        <w:gridCol w:w="630"/>
        <w:gridCol w:w="600"/>
        <w:gridCol w:w="600"/>
        <w:gridCol w:w="570"/>
      </w:tblGrid>
      <w:tr w:rsidR="006C3381">
        <w:trPr>
          <w:trHeight w:val="180"/>
        </w:trPr>
        <w:tc>
          <w:tcPr>
            <w:tcW w:w="8205" w:type="dxa"/>
            <w:gridSpan w:val="3"/>
            <w:shd w:val="clear" w:color="auto" w:fill="0C2753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Mechanical Equipment Hazards</w:t>
            </w:r>
          </w:p>
        </w:tc>
        <w:tc>
          <w:tcPr>
            <w:tcW w:w="600" w:type="dxa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N/A</w:t>
            </w:r>
          </w:p>
        </w:tc>
        <w:tc>
          <w:tcPr>
            <w:tcW w:w="570" w:type="dxa"/>
          </w:tcPr>
          <w:p w:rsidR="006C3381" w:rsidRDefault="006C3381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</w:p>
        </w:tc>
      </w:tr>
      <w:tr w:rsidR="006C3381">
        <w:trPr>
          <w:trHeight w:val="180"/>
        </w:trPr>
        <w:tc>
          <w:tcPr>
            <w:tcW w:w="6975" w:type="dxa"/>
            <w:shd w:val="clear" w:color="auto" w:fill="78291C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Regulation Description</w:t>
            </w:r>
          </w:p>
        </w:tc>
        <w:tc>
          <w:tcPr>
            <w:tcW w:w="63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Yes</w:t>
            </w:r>
          </w:p>
        </w:tc>
        <w:tc>
          <w:tcPr>
            <w:tcW w:w="60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60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N/A</w:t>
            </w:r>
          </w:p>
        </w:tc>
        <w:tc>
          <w:tcPr>
            <w:tcW w:w="57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ICR</w:t>
            </w: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Guards or warnings posted on equipment with accessible belts, pulley drives, or rotating parts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Warnings posted on unattended mechanical equipment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Equipment stop switch is easily accessible to the operator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Mechanical equipment is properly secured to the floor where applicable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rPr>
          <w:trHeight w:val="379"/>
        </w:trPr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Equipment’s electrical disconnects are unobstructed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</w:tbl>
    <w:p w:rsidR="002920BD" w:rsidRDefault="002920BD">
      <w:pPr>
        <w:rPr>
          <w:rFonts w:ascii="EB Garamond" w:eastAsia="EB Garamond" w:hAnsi="EB Garamond" w:cs="EB Garamond"/>
          <w:sz w:val="2"/>
          <w:szCs w:val="2"/>
        </w:rPr>
      </w:pPr>
    </w:p>
    <w:tbl>
      <w:tblPr>
        <w:tblStyle w:val="af0"/>
        <w:tblW w:w="93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5"/>
        <w:gridCol w:w="630"/>
        <w:gridCol w:w="600"/>
        <w:gridCol w:w="600"/>
        <w:gridCol w:w="570"/>
      </w:tblGrid>
      <w:tr w:rsidR="006C3381">
        <w:trPr>
          <w:trHeight w:val="180"/>
        </w:trPr>
        <w:tc>
          <w:tcPr>
            <w:tcW w:w="8205" w:type="dxa"/>
            <w:gridSpan w:val="3"/>
            <w:shd w:val="clear" w:color="auto" w:fill="0C2753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t>Chemical Fume Hoods and Biosafety Cabinets</w:t>
            </w:r>
          </w:p>
        </w:tc>
        <w:tc>
          <w:tcPr>
            <w:tcW w:w="600" w:type="dxa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sz w:val="18"/>
                <w:szCs w:val="18"/>
              </w:rPr>
              <w:t>N/A</w:t>
            </w:r>
          </w:p>
        </w:tc>
        <w:tc>
          <w:tcPr>
            <w:tcW w:w="570" w:type="dxa"/>
          </w:tcPr>
          <w:p w:rsidR="006C3381" w:rsidRDefault="006C3381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</w:p>
        </w:tc>
      </w:tr>
      <w:tr w:rsidR="006C3381">
        <w:trPr>
          <w:trHeight w:val="180"/>
        </w:trPr>
        <w:tc>
          <w:tcPr>
            <w:tcW w:w="6975" w:type="dxa"/>
            <w:shd w:val="clear" w:color="auto" w:fill="78291C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Regulation Description</w:t>
            </w:r>
          </w:p>
        </w:tc>
        <w:tc>
          <w:tcPr>
            <w:tcW w:w="63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Yes</w:t>
            </w:r>
          </w:p>
        </w:tc>
        <w:tc>
          <w:tcPr>
            <w:tcW w:w="60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60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N/A</w:t>
            </w:r>
          </w:p>
        </w:tc>
        <w:tc>
          <w:tcPr>
            <w:tcW w:w="57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ICR</w:t>
            </w: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Non-functioning fume hoods have an “Out of Service” sign posted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Hazardous materials or processes that require ventilation are being performed in a functioning fume hood</w:t>
            </w: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Air flow indicator is in use (manometer, digital gauge, tissue paper, etc.)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 xml:space="preserve">Sash is closed when fume hood is unattended 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Chemicals are not permanently stored in fume hood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Large equipment inside a fume hood is elevated by at least 2 inches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Materials inside a fume hood are at least 6 inches from the sash opening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Airflow through fume hood, and baffle exhaust are unobstructed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Sash Cables are in good working condition (no visible fraying or corrosion evident)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Non-functioning biosafety cabinet has an “Out of Service” sign posted</w:t>
            </w: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5B5559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sz w:val="18"/>
                <w:szCs w:val="18"/>
              </w:rPr>
              <w:t>Biological materials or process that require biosafety cabinet are being performed inside a functioning biosafety cabinet</w:t>
            </w: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</w:tbl>
    <w:p w:rsidR="006C3381" w:rsidRDefault="006C3381">
      <w:pPr>
        <w:rPr>
          <w:rFonts w:ascii="EB Garamond" w:eastAsia="EB Garamond" w:hAnsi="EB Garamond" w:cs="EB Garamond"/>
          <w:sz w:val="2"/>
          <w:szCs w:val="2"/>
        </w:rPr>
      </w:pPr>
    </w:p>
    <w:p w:rsidR="00CB73D2" w:rsidRDefault="00CB73D2">
      <w:pPr>
        <w:rPr>
          <w:rFonts w:ascii="EB Garamond" w:eastAsia="EB Garamond" w:hAnsi="EB Garamond" w:cs="EB Garamond"/>
          <w:sz w:val="2"/>
          <w:szCs w:val="2"/>
        </w:rPr>
      </w:pPr>
    </w:p>
    <w:p w:rsidR="00CB73D2" w:rsidRDefault="00CB73D2">
      <w:pPr>
        <w:rPr>
          <w:rFonts w:ascii="EB Garamond" w:eastAsia="EB Garamond" w:hAnsi="EB Garamond" w:cs="EB Garamond"/>
          <w:sz w:val="2"/>
          <w:szCs w:val="2"/>
        </w:rPr>
      </w:pPr>
    </w:p>
    <w:p w:rsidR="00CB73D2" w:rsidRDefault="00CB73D2">
      <w:pPr>
        <w:rPr>
          <w:rFonts w:ascii="EB Garamond" w:eastAsia="EB Garamond" w:hAnsi="EB Garamond" w:cs="EB Garamond"/>
          <w:sz w:val="2"/>
          <w:szCs w:val="2"/>
        </w:rPr>
      </w:pPr>
    </w:p>
    <w:p w:rsidR="00CB73D2" w:rsidRDefault="00CB73D2">
      <w:pPr>
        <w:rPr>
          <w:rFonts w:ascii="EB Garamond" w:eastAsia="EB Garamond" w:hAnsi="EB Garamond" w:cs="EB Garamond"/>
          <w:sz w:val="2"/>
          <w:szCs w:val="2"/>
        </w:rPr>
      </w:pPr>
    </w:p>
    <w:p w:rsidR="00CB73D2" w:rsidRDefault="00CB73D2">
      <w:pPr>
        <w:rPr>
          <w:rFonts w:ascii="EB Garamond" w:eastAsia="EB Garamond" w:hAnsi="EB Garamond" w:cs="EB Garamond"/>
          <w:sz w:val="2"/>
          <w:szCs w:val="2"/>
        </w:rPr>
      </w:pPr>
    </w:p>
    <w:p w:rsidR="00CB73D2" w:rsidRDefault="00CB73D2">
      <w:pPr>
        <w:rPr>
          <w:rFonts w:ascii="EB Garamond" w:eastAsia="EB Garamond" w:hAnsi="EB Garamond" w:cs="EB Garamond"/>
          <w:sz w:val="2"/>
          <w:szCs w:val="2"/>
        </w:rPr>
      </w:pPr>
    </w:p>
    <w:p w:rsidR="00CB73D2" w:rsidRDefault="00CB73D2">
      <w:pPr>
        <w:rPr>
          <w:rFonts w:ascii="EB Garamond" w:eastAsia="EB Garamond" w:hAnsi="EB Garamond" w:cs="EB Garamond"/>
          <w:sz w:val="2"/>
          <w:szCs w:val="2"/>
        </w:rPr>
      </w:pPr>
    </w:p>
    <w:p w:rsidR="00CB73D2" w:rsidRDefault="00CB73D2">
      <w:pPr>
        <w:rPr>
          <w:rFonts w:ascii="EB Garamond" w:eastAsia="EB Garamond" w:hAnsi="EB Garamond" w:cs="EB Garamond"/>
          <w:sz w:val="2"/>
          <w:szCs w:val="2"/>
        </w:rPr>
      </w:pPr>
    </w:p>
    <w:p w:rsidR="00CB73D2" w:rsidRDefault="00CB73D2">
      <w:pPr>
        <w:rPr>
          <w:rFonts w:ascii="EB Garamond" w:eastAsia="EB Garamond" w:hAnsi="EB Garamond" w:cs="EB Garamond"/>
          <w:sz w:val="2"/>
          <w:szCs w:val="2"/>
        </w:rPr>
      </w:pPr>
      <w:bookmarkStart w:id="1" w:name="_GoBack"/>
      <w:bookmarkEnd w:id="1"/>
    </w:p>
    <w:tbl>
      <w:tblPr>
        <w:tblStyle w:val="af1"/>
        <w:tblW w:w="93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5"/>
        <w:gridCol w:w="630"/>
        <w:gridCol w:w="600"/>
        <w:gridCol w:w="600"/>
        <w:gridCol w:w="570"/>
      </w:tblGrid>
      <w:tr w:rsidR="006C3381">
        <w:trPr>
          <w:trHeight w:val="240"/>
        </w:trPr>
        <w:tc>
          <w:tcPr>
            <w:tcW w:w="9375" w:type="dxa"/>
            <w:gridSpan w:val="5"/>
            <w:shd w:val="clear" w:color="auto" w:fill="0C2753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24"/>
                <w:szCs w:val="24"/>
              </w:rPr>
              <w:lastRenderedPageBreak/>
              <w:t>Other Hazards Present in the Laboratory (Lasers, Cryogenics, Radioactive Materials, etc.)</w:t>
            </w:r>
          </w:p>
        </w:tc>
      </w:tr>
      <w:tr w:rsidR="006C3381">
        <w:trPr>
          <w:trHeight w:val="180"/>
        </w:trPr>
        <w:tc>
          <w:tcPr>
            <w:tcW w:w="6975" w:type="dxa"/>
            <w:shd w:val="clear" w:color="auto" w:fill="78291C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bookmarkStart w:id="2" w:name="_heading=h.1jwvjdnnsxwb" w:colFirst="0" w:colLast="0"/>
            <w:bookmarkEnd w:id="2"/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Regulation Description</w:t>
            </w:r>
          </w:p>
        </w:tc>
        <w:tc>
          <w:tcPr>
            <w:tcW w:w="63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Yes</w:t>
            </w:r>
          </w:p>
        </w:tc>
        <w:tc>
          <w:tcPr>
            <w:tcW w:w="60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60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N/A</w:t>
            </w:r>
          </w:p>
        </w:tc>
        <w:tc>
          <w:tcPr>
            <w:tcW w:w="570" w:type="dxa"/>
            <w:shd w:val="clear" w:color="auto" w:fill="78291C"/>
          </w:tcPr>
          <w:p w:rsidR="006C3381" w:rsidRDefault="005B5559">
            <w:pPr>
              <w:widowControl w:val="0"/>
              <w:spacing w:line="276" w:lineRule="auto"/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ICR</w:t>
            </w:r>
          </w:p>
        </w:tc>
      </w:tr>
      <w:tr w:rsidR="006C3381">
        <w:tc>
          <w:tcPr>
            <w:tcW w:w="6975" w:type="dxa"/>
          </w:tcPr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  <w:tr w:rsidR="006C3381">
        <w:tc>
          <w:tcPr>
            <w:tcW w:w="6975" w:type="dxa"/>
          </w:tcPr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  <w:p w:rsidR="006C3381" w:rsidRDefault="006C3381">
            <w:pPr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3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60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  <w:tc>
          <w:tcPr>
            <w:tcW w:w="570" w:type="dxa"/>
          </w:tcPr>
          <w:p w:rsidR="006C3381" w:rsidRDefault="006C3381">
            <w:pPr>
              <w:ind w:left="720" w:hanging="360"/>
              <w:rPr>
                <w:rFonts w:ascii="EB Garamond" w:eastAsia="EB Garamond" w:hAnsi="EB Garamond" w:cs="EB Garamond"/>
                <w:sz w:val="18"/>
                <w:szCs w:val="18"/>
              </w:rPr>
            </w:pPr>
          </w:p>
        </w:tc>
      </w:tr>
    </w:tbl>
    <w:p w:rsidR="006C3381" w:rsidRDefault="006C3381">
      <w:pPr>
        <w:rPr>
          <w:rFonts w:ascii="EB Garamond" w:eastAsia="EB Garamond" w:hAnsi="EB Garamond" w:cs="EB Garamond"/>
          <w:sz w:val="2"/>
          <w:szCs w:val="2"/>
        </w:rPr>
      </w:pPr>
    </w:p>
    <w:tbl>
      <w:tblPr>
        <w:tblStyle w:val="af2"/>
        <w:tblW w:w="937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75"/>
      </w:tblGrid>
      <w:tr w:rsidR="006C3381">
        <w:trPr>
          <w:trHeight w:val="220"/>
        </w:trPr>
        <w:tc>
          <w:tcPr>
            <w:tcW w:w="9375" w:type="dxa"/>
            <w:shd w:val="clear" w:color="auto" w:fill="0C2753"/>
          </w:tcPr>
          <w:p w:rsidR="006C3381" w:rsidRDefault="005B5559">
            <w:pP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sz w:val="18"/>
                <w:szCs w:val="18"/>
              </w:rPr>
              <w:t>Notes and Comments</w:t>
            </w:r>
          </w:p>
        </w:tc>
      </w:tr>
      <w:tr w:rsidR="006C3381">
        <w:trPr>
          <w:trHeight w:val="3840"/>
        </w:trPr>
        <w:tc>
          <w:tcPr>
            <w:tcW w:w="9375" w:type="dxa"/>
          </w:tcPr>
          <w:p w:rsidR="006C3381" w:rsidRDefault="006C3381">
            <w:pPr>
              <w:rPr>
                <w:rFonts w:ascii="EB Garamond" w:eastAsia="EB Garamond" w:hAnsi="EB Garamond" w:cs="EB Garamond"/>
              </w:rPr>
            </w:pPr>
          </w:p>
        </w:tc>
      </w:tr>
    </w:tbl>
    <w:p w:rsidR="006C3381" w:rsidRDefault="006C3381">
      <w:pPr>
        <w:rPr>
          <w:rFonts w:ascii="EB Garamond" w:eastAsia="EB Garamond" w:hAnsi="EB Garamond" w:cs="EB Garamond"/>
        </w:rPr>
      </w:pPr>
    </w:p>
    <w:sectPr w:rsidR="006C338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847" w:rsidRDefault="00A15847">
      <w:pPr>
        <w:spacing w:after="0" w:line="240" w:lineRule="auto"/>
      </w:pPr>
      <w:r>
        <w:separator/>
      </w:r>
    </w:p>
  </w:endnote>
  <w:endnote w:type="continuationSeparator" w:id="0">
    <w:p w:rsidR="00A15847" w:rsidRDefault="00A1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381" w:rsidRDefault="005B5559">
    <w:pPr>
      <w:jc w:val="center"/>
    </w:pPr>
    <w:r>
      <w:t>Office of Research</w:t>
    </w:r>
  </w:p>
  <w:p w:rsidR="006C3381" w:rsidRDefault="005B5559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CB73D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381" w:rsidRDefault="006C338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847" w:rsidRDefault="00A15847">
      <w:pPr>
        <w:spacing w:after="0" w:line="240" w:lineRule="auto"/>
      </w:pPr>
      <w:r>
        <w:separator/>
      </w:r>
    </w:p>
  </w:footnote>
  <w:footnote w:type="continuationSeparator" w:id="0">
    <w:p w:rsidR="00A15847" w:rsidRDefault="00A15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381" w:rsidRDefault="006C3381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381" w:rsidRDefault="005B5559">
    <w:pPr>
      <w:jc w:val="center"/>
    </w:pPr>
    <w:r>
      <w:t>Laboratory Safety Review Checklist                                                                          Last Revised: Sep 29, 2023</w:t>
    </w:r>
    <w:r>
      <w:rPr>
        <w:rFonts w:ascii="EB Garamond" w:eastAsia="EB Garamond" w:hAnsi="EB Garamond" w:cs="EB Garamond"/>
        <w:noProof/>
      </w:rPr>
      <w:drawing>
        <wp:inline distT="0" distB="0" distL="0" distR="0">
          <wp:extent cx="5943600" cy="173037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730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81"/>
    <w:rsid w:val="002920BD"/>
    <w:rsid w:val="005B5559"/>
    <w:rsid w:val="006C3381"/>
    <w:rsid w:val="00A15847"/>
    <w:rsid w:val="00CB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1742B"/>
  <w15:docId w15:val="{C8302C03-0154-4C4D-9333-5AA4E89E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2E4EC1"/>
    <w:rPr>
      <w:color w:val="808080"/>
    </w:rPr>
  </w:style>
  <w:style w:type="table" w:styleId="TableGrid">
    <w:name w:val="Table Grid"/>
    <w:basedOn w:val="TableNormal"/>
    <w:uiPriority w:val="39"/>
    <w:rsid w:val="002E4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4EC1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gi+oEgO4KIwW69YhW9Ql6K/xXw==">CgMxLjAyDmgueGIyMGlhaDM2dGZ4Mg5oLjFqd3ZqZG5uc3h3YjIOaC4xand2amRubnN4d2IyDmguMWp3dmpkbm5zeHdiMg5oLjFqd3ZqZG5uc3h3YjIOaC4xand2amRubnN4d2IyDmguMWp3dmpkbm5zeHdiMg5oLjFqd3ZqZG5uc3h3YjIOaC4xand2amRubnN4d2IyDmguMWp3dmpkbm5zeHdiMg5oLjFqd3ZqZG5uc3h3YjIOaC4xand2amRubnN4d2IyDmguMWp3dmpkbm5zeHdiMg5oLjFqd3ZqZG5uc3h3YjIOaC4xand2amRubnN4d2I4AHIhMXVzR0dwd0oxeFd4UmFjdHotNlJfanhYM2RKTXFKU2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1339</Words>
  <Characters>7638</Characters>
  <Application>Microsoft Office Word</Application>
  <DocSecurity>0</DocSecurity>
  <Lines>63</Lines>
  <Paragraphs>17</Paragraphs>
  <ScaleCrop>false</ScaleCrop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Safety</dc:creator>
  <cp:lastModifiedBy>Ben Thomas</cp:lastModifiedBy>
  <cp:revision>3</cp:revision>
  <dcterms:created xsi:type="dcterms:W3CDTF">2022-10-19T15:52:00Z</dcterms:created>
  <dcterms:modified xsi:type="dcterms:W3CDTF">2023-09-29T22:36:00Z</dcterms:modified>
</cp:coreProperties>
</file>