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95" w:rsidRPr="00C635F1" w:rsidRDefault="00935CA0" w:rsidP="00935CA0">
      <w:pPr>
        <w:spacing w:after="0" w:line="240" w:lineRule="auto"/>
        <w:jc w:val="right"/>
        <w:rPr>
          <w:sz w:val="16"/>
          <w:szCs w:val="16"/>
        </w:rPr>
      </w:pPr>
      <w:r w:rsidRPr="00C635F1">
        <w:rPr>
          <w:sz w:val="16"/>
          <w:szCs w:val="16"/>
        </w:rPr>
        <w:t>Exhibit 3</w:t>
      </w:r>
    </w:p>
    <w:p w:rsidR="00935CA0" w:rsidRPr="00E52086" w:rsidRDefault="00935CA0" w:rsidP="00935CA0">
      <w:pPr>
        <w:spacing w:after="0" w:line="240" w:lineRule="auto"/>
        <w:jc w:val="center"/>
        <w:rPr>
          <w:b/>
          <w:sz w:val="20"/>
          <w:szCs w:val="20"/>
        </w:rPr>
      </w:pPr>
      <w:r w:rsidRPr="00E52086">
        <w:rPr>
          <w:b/>
          <w:sz w:val="20"/>
          <w:szCs w:val="20"/>
        </w:rPr>
        <w:t>Subrecipient Risk Assessment Form</w:t>
      </w:r>
    </w:p>
    <w:p w:rsidR="00935CA0" w:rsidRDefault="00935CA0" w:rsidP="00935CA0">
      <w:pPr>
        <w:spacing w:after="0" w:line="240" w:lineRule="auto"/>
        <w:jc w:val="center"/>
        <w:rPr>
          <w:sz w:val="20"/>
          <w:szCs w:val="20"/>
        </w:rPr>
      </w:pPr>
    </w:p>
    <w:p w:rsidR="00935CA0" w:rsidRDefault="00935CA0" w:rsidP="00935CA0">
      <w:pPr>
        <w:spacing w:after="0" w:line="240" w:lineRule="auto"/>
        <w:rPr>
          <w:sz w:val="20"/>
          <w:szCs w:val="20"/>
        </w:rPr>
      </w:pPr>
      <w:r w:rsidRPr="00E52086">
        <w:rPr>
          <w:b/>
          <w:sz w:val="20"/>
          <w:szCs w:val="20"/>
        </w:rPr>
        <w:t>Prepared By</w:t>
      </w:r>
      <w:r>
        <w:rPr>
          <w:sz w:val="20"/>
          <w:szCs w:val="20"/>
        </w:rPr>
        <w:t xml:space="preserve">: ___________________________________________ </w:t>
      </w:r>
      <w:r w:rsidRPr="00E52086">
        <w:rPr>
          <w:b/>
          <w:sz w:val="20"/>
          <w:szCs w:val="20"/>
        </w:rPr>
        <w:t>Date</w:t>
      </w:r>
      <w:r>
        <w:rPr>
          <w:sz w:val="20"/>
          <w:szCs w:val="20"/>
        </w:rPr>
        <w:t>: ______________________</w:t>
      </w:r>
    </w:p>
    <w:p w:rsidR="00935CA0" w:rsidRPr="00823525" w:rsidRDefault="00935CA0" w:rsidP="00935CA0">
      <w:pPr>
        <w:spacing w:after="0" w:line="240" w:lineRule="auto"/>
        <w:rPr>
          <w:sz w:val="16"/>
          <w:szCs w:val="16"/>
        </w:rPr>
      </w:pPr>
    </w:p>
    <w:p w:rsidR="00935CA0" w:rsidRDefault="00935CA0" w:rsidP="00935CA0">
      <w:pPr>
        <w:spacing w:after="0" w:line="240" w:lineRule="auto"/>
        <w:jc w:val="both"/>
        <w:rPr>
          <w:sz w:val="20"/>
          <w:szCs w:val="20"/>
        </w:rPr>
      </w:pPr>
      <w:r w:rsidRPr="00935CA0">
        <w:rPr>
          <w:b/>
          <w:i/>
          <w:sz w:val="20"/>
          <w:szCs w:val="20"/>
        </w:rPr>
        <w:t>Instructions</w:t>
      </w:r>
      <w:r>
        <w:rPr>
          <w:sz w:val="20"/>
          <w:szCs w:val="20"/>
        </w:rPr>
        <w:t xml:space="preserve">:  This form is to be completed by Sponsored Projects Administration (SPA) as part of their assessment of potential Subrecipient risk.  This form should be used in </w:t>
      </w:r>
      <w:r w:rsidR="0062002C">
        <w:rPr>
          <w:sz w:val="20"/>
          <w:szCs w:val="20"/>
        </w:rPr>
        <w:t>conjunction</w:t>
      </w:r>
      <w:r>
        <w:rPr>
          <w:sz w:val="20"/>
          <w:szCs w:val="20"/>
        </w:rPr>
        <w:t xml:space="preserve"> with the Risk An</w:t>
      </w:r>
      <w:r w:rsidR="00A42F02">
        <w:rPr>
          <w:sz w:val="20"/>
          <w:szCs w:val="20"/>
        </w:rPr>
        <w:t>alysis Matrix for Subrecipients</w:t>
      </w:r>
      <w:r>
        <w:rPr>
          <w:sz w:val="20"/>
          <w:szCs w:val="20"/>
        </w:rPr>
        <w:t xml:space="preserve"> (see Exhibit 2).</w:t>
      </w:r>
    </w:p>
    <w:p w:rsidR="00935CA0" w:rsidRPr="00823525" w:rsidRDefault="00935CA0" w:rsidP="00935CA0">
      <w:pPr>
        <w:spacing w:after="0" w:line="240" w:lineRule="auto"/>
        <w:jc w:val="both"/>
        <w:rPr>
          <w:sz w:val="16"/>
          <w:szCs w:val="16"/>
        </w:rPr>
      </w:pPr>
    </w:p>
    <w:p w:rsidR="00935CA0" w:rsidRPr="00A50FE4" w:rsidRDefault="00935CA0" w:rsidP="00935CA0">
      <w:pPr>
        <w:spacing w:after="0" w:line="240" w:lineRule="auto"/>
        <w:jc w:val="both"/>
        <w:rPr>
          <w:b/>
          <w:sz w:val="20"/>
          <w:szCs w:val="20"/>
        </w:rPr>
      </w:pPr>
      <w:r w:rsidRPr="00A50FE4">
        <w:rPr>
          <w:b/>
          <w:sz w:val="20"/>
          <w:szCs w:val="20"/>
        </w:rPr>
        <w:t>SECTION A:</w:t>
      </w:r>
    </w:p>
    <w:p w:rsidR="00935CA0" w:rsidRPr="00823525" w:rsidRDefault="00935CA0" w:rsidP="00935CA0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628"/>
        <w:gridCol w:w="3240"/>
        <w:gridCol w:w="3960"/>
      </w:tblGrid>
      <w:tr w:rsidR="00935CA0" w:rsidTr="00935CA0">
        <w:tc>
          <w:tcPr>
            <w:tcW w:w="2628" w:type="dxa"/>
            <w:shd w:val="clear" w:color="auto" w:fill="D9D9D9" w:themeFill="background1" w:themeFillShade="D9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Subrecipient Name</w:t>
            </w:r>
          </w:p>
        </w:tc>
        <w:tc>
          <w:tcPr>
            <w:tcW w:w="7200" w:type="dxa"/>
            <w:gridSpan w:val="2"/>
          </w:tcPr>
          <w:p w:rsidR="00935CA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935CA0" w:rsidTr="00935CA0">
        <w:tc>
          <w:tcPr>
            <w:tcW w:w="2628" w:type="dxa"/>
            <w:shd w:val="clear" w:color="auto" w:fill="D9D9D9" w:themeFill="background1" w:themeFillShade="D9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Project Title</w:t>
            </w:r>
          </w:p>
        </w:tc>
        <w:tc>
          <w:tcPr>
            <w:tcW w:w="7200" w:type="dxa"/>
            <w:gridSpan w:val="2"/>
          </w:tcPr>
          <w:p w:rsidR="00935CA0" w:rsidRDefault="00935CA0" w:rsidP="00E52086">
            <w:pPr>
              <w:jc w:val="both"/>
              <w:rPr>
                <w:sz w:val="20"/>
                <w:szCs w:val="20"/>
              </w:rPr>
            </w:pPr>
          </w:p>
        </w:tc>
      </w:tr>
      <w:tr w:rsidR="00935CA0" w:rsidTr="00935CA0">
        <w:tc>
          <w:tcPr>
            <w:tcW w:w="2628" w:type="dxa"/>
            <w:shd w:val="clear" w:color="auto" w:fill="D9D9D9" w:themeFill="background1" w:themeFillShade="D9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Project Sponsor</w:t>
            </w:r>
          </w:p>
        </w:tc>
        <w:tc>
          <w:tcPr>
            <w:tcW w:w="7200" w:type="dxa"/>
            <w:gridSpan w:val="2"/>
          </w:tcPr>
          <w:p w:rsidR="00935CA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935CA0" w:rsidTr="00935CA0">
        <w:tc>
          <w:tcPr>
            <w:tcW w:w="2628" w:type="dxa"/>
            <w:shd w:val="clear" w:color="auto" w:fill="D9D9D9" w:themeFill="background1" w:themeFillShade="D9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Project Period</w:t>
            </w:r>
          </w:p>
        </w:tc>
        <w:tc>
          <w:tcPr>
            <w:tcW w:w="3240" w:type="dxa"/>
          </w:tcPr>
          <w:p w:rsidR="00935CA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Total Award Amount:</w:t>
            </w:r>
          </w:p>
        </w:tc>
      </w:tr>
      <w:tr w:rsidR="00935CA0" w:rsidTr="00935CA0">
        <w:tc>
          <w:tcPr>
            <w:tcW w:w="2628" w:type="dxa"/>
            <w:shd w:val="clear" w:color="auto" w:fill="D9D9D9" w:themeFill="background1" w:themeFillShade="D9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PI Name</w:t>
            </w:r>
          </w:p>
        </w:tc>
        <w:tc>
          <w:tcPr>
            <w:tcW w:w="7200" w:type="dxa"/>
            <w:gridSpan w:val="2"/>
          </w:tcPr>
          <w:p w:rsidR="00935CA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935CA0" w:rsidTr="00935CA0">
        <w:tc>
          <w:tcPr>
            <w:tcW w:w="2628" w:type="dxa"/>
            <w:shd w:val="clear" w:color="auto" w:fill="D9D9D9" w:themeFill="background1" w:themeFillShade="D9"/>
          </w:tcPr>
          <w:p w:rsidR="00935CA0" w:rsidRPr="00935CA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935CA0">
              <w:rPr>
                <w:b/>
                <w:sz w:val="20"/>
                <w:szCs w:val="20"/>
              </w:rPr>
              <w:t>PI Phone &amp; E-mail</w:t>
            </w:r>
          </w:p>
        </w:tc>
        <w:tc>
          <w:tcPr>
            <w:tcW w:w="7200" w:type="dxa"/>
            <w:gridSpan w:val="2"/>
          </w:tcPr>
          <w:p w:rsidR="00935CA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</w:tr>
    </w:tbl>
    <w:p w:rsidR="00935CA0" w:rsidRPr="00823525" w:rsidRDefault="00935CA0" w:rsidP="00935CA0">
      <w:pPr>
        <w:spacing w:after="0" w:line="240" w:lineRule="auto"/>
        <w:jc w:val="both"/>
        <w:rPr>
          <w:sz w:val="12"/>
          <w:szCs w:val="12"/>
        </w:rPr>
      </w:pPr>
    </w:p>
    <w:p w:rsidR="00A50FE4" w:rsidRPr="00A50FE4" w:rsidRDefault="00A50FE4" w:rsidP="00935CA0">
      <w:pPr>
        <w:spacing w:after="0" w:line="240" w:lineRule="auto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CHECK THE APPROPRIATE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990"/>
        <w:gridCol w:w="450"/>
        <w:gridCol w:w="990"/>
        <w:gridCol w:w="450"/>
      </w:tblGrid>
      <w:tr w:rsidR="00935CA0" w:rsidRPr="005B79F0" w:rsidTr="00A50FE4">
        <w:tc>
          <w:tcPr>
            <w:tcW w:w="3348" w:type="dxa"/>
            <w:shd w:val="clear" w:color="auto" w:fill="D9D9D9" w:themeFill="background1" w:themeFillShade="D9"/>
          </w:tcPr>
          <w:p w:rsidR="00935CA0" w:rsidRPr="005B79F0" w:rsidRDefault="00A42F02" w:rsidP="00A42F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5A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CFR</w:t>
            </w:r>
            <w:r w:rsidR="00E15AA2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200</w:t>
            </w:r>
            <w:r w:rsidR="00935CA0" w:rsidRPr="005B79F0">
              <w:rPr>
                <w:b/>
                <w:sz w:val="20"/>
                <w:szCs w:val="20"/>
              </w:rPr>
              <w:t xml:space="preserve"> Audit filed and compliant?</w:t>
            </w:r>
          </w:p>
        </w:tc>
        <w:tc>
          <w:tcPr>
            <w:tcW w:w="990" w:type="dxa"/>
          </w:tcPr>
          <w:p w:rsidR="00935CA0" w:rsidRPr="005B79F0" w:rsidRDefault="00935CA0" w:rsidP="00A50FE4">
            <w:pPr>
              <w:jc w:val="center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</w:tcPr>
          <w:p w:rsidR="00935CA0" w:rsidRPr="005B79F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35CA0" w:rsidRPr="005B79F0" w:rsidRDefault="00935CA0" w:rsidP="00A50FE4">
            <w:pPr>
              <w:jc w:val="center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</w:tcPr>
          <w:p w:rsidR="00935CA0" w:rsidRPr="005B79F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935CA0" w:rsidRPr="005B79F0" w:rsidTr="00A50FE4">
        <w:tc>
          <w:tcPr>
            <w:tcW w:w="3348" w:type="dxa"/>
            <w:shd w:val="clear" w:color="auto" w:fill="D9D9D9" w:themeFill="background1" w:themeFillShade="D9"/>
          </w:tcPr>
          <w:p w:rsidR="00935CA0" w:rsidRPr="005B79F0" w:rsidRDefault="00935CA0" w:rsidP="00935CA0">
            <w:pPr>
              <w:jc w:val="both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For Profit, publicly traded?</w:t>
            </w:r>
          </w:p>
        </w:tc>
        <w:tc>
          <w:tcPr>
            <w:tcW w:w="990" w:type="dxa"/>
          </w:tcPr>
          <w:p w:rsidR="00935CA0" w:rsidRPr="005B79F0" w:rsidRDefault="00935CA0" w:rsidP="00A50FE4">
            <w:pPr>
              <w:jc w:val="center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</w:tcPr>
          <w:p w:rsidR="00935CA0" w:rsidRPr="005B79F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35CA0" w:rsidRPr="005B79F0" w:rsidRDefault="00935CA0" w:rsidP="00A50FE4">
            <w:pPr>
              <w:jc w:val="center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</w:tcPr>
          <w:p w:rsidR="00935CA0" w:rsidRPr="005B79F0" w:rsidRDefault="00935CA0" w:rsidP="00935CA0">
            <w:pPr>
              <w:jc w:val="both"/>
              <w:rPr>
                <w:sz w:val="20"/>
                <w:szCs w:val="20"/>
              </w:rPr>
            </w:pPr>
          </w:p>
        </w:tc>
      </w:tr>
    </w:tbl>
    <w:p w:rsidR="00C635F1" w:rsidRPr="005B79F0" w:rsidRDefault="00C635F1" w:rsidP="00935CA0">
      <w:pPr>
        <w:spacing w:after="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tblpX="6385" w:tblpY="-707"/>
        <w:tblW w:w="0" w:type="auto"/>
        <w:tblLook w:val="0000" w:firstRow="0" w:lastRow="0" w:firstColumn="0" w:lastColumn="0" w:noHBand="0" w:noVBand="0"/>
      </w:tblPr>
      <w:tblGrid>
        <w:gridCol w:w="3408"/>
      </w:tblGrid>
      <w:tr w:rsidR="00C635F1" w:rsidTr="00C635F1">
        <w:trPr>
          <w:trHeight w:val="468"/>
        </w:trPr>
        <w:tc>
          <w:tcPr>
            <w:tcW w:w="3408" w:type="dxa"/>
          </w:tcPr>
          <w:p w:rsidR="00C635F1" w:rsidRPr="00C635F1" w:rsidRDefault="00C635F1" w:rsidP="00C635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5F1">
              <w:rPr>
                <w:b/>
                <w:sz w:val="18"/>
                <w:szCs w:val="18"/>
              </w:rPr>
              <w:t>If both answers are “No”, then complete    Section B.</w:t>
            </w:r>
          </w:p>
        </w:tc>
      </w:tr>
    </w:tbl>
    <w:p w:rsidR="00935CA0" w:rsidRPr="00E52086" w:rsidRDefault="00935CA0" w:rsidP="00935CA0">
      <w:pPr>
        <w:spacing w:after="0" w:line="240" w:lineRule="auto"/>
        <w:jc w:val="both"/>
        <w:rPr>
          <w:sz w:val="16"/>
          <w:szCs w:val="16"/>
        </w:rPr>
      </w:pPr>
    </w:p>
    <w:p w:rsidR="00A50FE4" w:rsidRPr="008F77CE" w:rsidRDefault="00A50FE4" w:rsidP="00935CA0">
      <w:pPr>
        <w:spacing w:after="0" w:line="240" w:lineRule="auto"/>
        <w:jc w:val="both"/>
        <w:rPr>
          <w:b/>
          <w:sz w:val="20"/>
          <w:szCs w:val="20"/>
        </w:rPr>
      </w:pPr>
      <w:r w:rsidRPr="008F77CE">
        <w:rPr>
          <w:b/>
          <w:sz w:val="20"/>
          <w:szCs w:val="20"/>
        </w:rPr>
        <w:t>SECTION B:</w:t>
      </w:r>
    </w:p>
    <w:p w:rsidR="00A50FE4" w:rsidRPr="00E52086" w:rsidRDefault="00A50FE4" w:rsidP="00935CA0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140"/>
        <w:gridCol w:w="900"/>
        <w:gridCol w:w="842"/>
      </w:tblGrid>
      <w:tr w:rsidR="00A50FE4" w:rsidTr="008F77CE">
        <w:tc>
          <w:tcPr>
            <w:tcW w:w="4140" w:type="dxa"/>
            <w:shd w:val="clear" w:color="auto" w:fill="D9D9D9" w:themeFill="background1" w:themeFillShade="D9"/>
          </w:tcPr>
          <w:p w:rsidR="00A50FE4" w:rsidRPr="00823525" w:rsidRDefault="00A50FE4" w:rsidP="00823525">
            <w:pPr>
              <w:jc w:val="center"/>
              <w:rPr>
                <w:b/>
                <w:sz w:val="20"/>
                <w:szCs w:val="20"/>
              </w:rPr>
            </w:pPr>
            <w:r w:rsidRPr="00823525">
              <w:rPr>
                <w:b/>
                <w:sz w:val="20"/>
                <w:szCs w:val="20"/>
              </w:rPr>
              <w:t>Measure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50FE4" w:rsidRPr="005B79F0" w:rsidRDefault="00A50FE4" w:rsidP="00A50FE4">
            <w:pPr>
              <w:jc w:val="center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50FE4" w:rsidRPr="005B79F0" w:rsidRDefault="00A50FE4" w:rsidP="00A50FE4">
            <w:pPr>
              <w:jc w:val="center"/>
              <w:rPr>
                <w:b/>
                <w:sz w:val="20"/>
                <w:szCs w:val="20"/>
              </w:rPr>
            </w:pPr>
            <w:r w:rsidRPr="005B79F0">
              <w:rPr>
                <w:b/>
                <w:sz w:val="20"/>
                <w:szCs w:val="20"/>
              </w:rPr>
              <w:t>High</w:t>
            </w: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Foreign </w:t>
            </w:r>
            <w:proofErr w:type="spellStart"/>
            <w:r>
              <w:rPr>
                <w:b/>
                <w:sz w:val="20"/>
                <w:szCs w:val="20"/>
              </w:rPr>
              <w:t>vs</w:t>
            </w:r>
            <w:proofErr w:type="spellEnd"/>
            <w:r>
              <w:rPr>
                <w:b/>
                <w:sz w:val="20"/>
                <w:szCs w:val="20"/>
              </w:rPr>
              <w:t xml:space="preserve"> Domestic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Maturity of Organization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Subrecipient Organization Type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 Type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Relative Subaward size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8235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Financial &amp; Administrative Systems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Negotiated Indirect Cost Rate Agreement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A50FE4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 Report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A50FE4" w:rsidTr="00A50FE4">
        <w:tc>
          <w:tcPr>
            <w:tcW w:w="4140" w:type="dxa"/>
          </w:tcPr>
          <w:p w:rsidR="00823525" w:rsidRPr="005B79F0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 Experience</w:t>
            </w:r>
          </w:p>
        </w:tc>
        <w:tc>
          <w:tcPr>
            <w:tcW w:w="900" w:type="dxa"/>
          </w:tcPr>
          <w:p w:rsidR="00A50FE4" w:rsidRDefault="00A50FE4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823525" w:rsidRDefault="00823525" w:rsidP="00935CA0">
            <w:pPr>
              <w:jc w:val="both"/>
              <w:rPr>
                <w:sz w:val="20"/>
                <w:szCs w:val="20"/>
              </w:rPr>
            </w:pPr>
          </w:p>
        </w:tc>
      </w:tr>
      <w:tr w:rsidR="00823525" w:rsidTr="00A50FE4">
        <w:tc>
          <w:tcPr>
            <w:tcW w:w="4140" w:type="dxa"/>
          </w:tcPr>
          <w:p w:rsidR="00823525" w:rsidRDefault="00823525" w:rsidP="00935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 Site Location</w:t>
            </w:r>
          </w:p>
        </w:tc>
        <w:tc>
          <w:tcPr>
            <w:tcW w:w="900" w:type="dxa"/>
          </w:tcPr>
          <w:p w:rsidR="00823525" w:rsidRDefault="00823525" w:rsidP="0093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823525" w:rsidRDefault="00823525" w:rsidP="00935CA0">
            <w:pPr>
              <w:jc w:val="both"/>
              <w:rPr>
                <w:sz w:val="20"/>
                <w:szCs w:val="20"/>
              </w:rPr>
            </w:pPr>
          </w:p>
        </w:tc>
      </w:tr>
    </w:tbl>
    <w:p w:rsidR="00A50FE4" w:rsidRPr="00E52086" w:rsidRDefault="00A50FE4" w:rsidP="00935CA0">
      <w:pPr>
        <w:spacing w:after="0" w:line="240" w:lineRule="auto"/>
        <w:jc w:val="both"/>
        <w:rPr>
          <w:sz w:val="16"/>
          <w:szCs w:val="16"/>
        </w:rPr>
      </w:pP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b/>
          <w:sz w:val="20"/>
          <w:szCs w:val="20"/>
        </w:rPr>
        <w:t>Analysis:</w:t>
      </w:r>
      <w:r>
        <w:rPr>
          <w:sz w:val="20"/>
          <w:szCs w:val="20"/>
        </w:rPr>
        <w:t xml:space="preserve">  SPA with consultation from the PI, will determine the classification of the potential Subrecipient (i.e., low-risk or high-risk).  A case-by-case review is required so that an informed decision can be made regarding whether heightened monitoring is required and, if so, what type of additional monitoring should occur.</w:t>
      </w:r>
    </w:p>
    <w:p w:rsidR="008F77CE" w:rsidRPr="00823525" w:rsidRDefault="008F77CE" w:rsidP="00935CA0">
      <w:pPr>
        <w:spacing w:after="0" w:line="240" w:lineRule="auto"/>
        <w:jc w:val="both"/>
        <w:rPr>
          <w:sz w:val="12"/>
          <w:szCs w:val="12"/>
        </w:rPr>
      </w:pP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b/>
          <w:sz w:val="20"/>
          <w:szCs w:val="20"/>
        </w:rPr>
        <w:t>Debarred Entity</w:t>
      </w:r>
      <w:r>
        <w:rPr>
          <w:sz w:val="20"/>
          <w:szCs w:val="20"/>
        </w:rPr>
        <w:t xml:space="preserve"> (see </w:t>
      </w:r>
      <w:hyperlink r:id="rId7" w:history="1">
        <w:r w:rsidRPr="002B369F">
          <w:rPr>
            <w:rStyle w:val="Hyperlink"/>
            <w:sz w:val="20"/>
            <w:szCs w:val="20"/>
          </w:rPr>
          <w:t>www.epls.gov/</w:t>
        </w:r>
      </w:hyperlink>
      <w:r>
        <w:rPr>
          <w:sz w:val="20"/>
          <w:szCs w:val="20"/>
        </w:rPr>
        <w:t>):</w:t>
      </w:r>
      <w:r w:rsidR="0026273A">
        <w:rPr>
          <w:sz w:val="20"/>
          <w:szCs w:val="20"/>
        </w:rPr>
        <w:t xml:space="preserve">  </w:t>
      </w:r>
      <w:r w:rsidR="0026273A" w:rsidRPr="0026273A">
        <w:rPr>
          <w:rFonts w:cstheme="minorHAnsi"/>
          <w:sz w:val="24"/>
          <w:szCs w:val="24"/>
        </w:rPr>
        <w:t>□</w:t>
      </w:r>
      <w:r w:rsidR="0026273A">
        <w:rPr>
          <w:sz w:val="20"/>
          <w:szCs w:val="20"/>
        </w:rPr>
        <w:t xml:space="preserve"> </w:t>
      </w:r>
      <w:proofErr w:type="gramStart"/>
      <w:r w:rsidR="0026273A">
        <w:rPr>
          <w:sz w:val="20"/>
          <w:szCs w:val="20"/>
        </w:rPr>
        <w:t xml:space="preserve">Yes  </w:t>
      </w:r>
      <w:r w:rsidR="0026273A" w:rsidRPr="0026273A">
        <w:rPr>
          <w:rFonts w:cstheme="minorHAnsi"/>
          <w:sz w:val="24"/>
          <w:szCs w:val="24"/>
        </w:rPr>
        <w:t>□</w:t>
      </w:r>
      <w:proofErr w:type="gramEnd"/>
      <w:r w:rsidR="005B79F0">
        <w:rPr>
          <w:sz w:val="20"/>
          <w:szCs w:val="20"/>
        </w:rPr>
        <w:t xml:space="preserve"> No</w:t>
      </w: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b/>
          <w:sz w:val="20"/>
          <w:szCs w:val="20"/>
        </w:rPr>
        <w:t>Final Risk Rating</w:t>
      </w:r>
      <w:r>
        <w:rPr>
          <w:sz w:val="20"/>
          <w:szCs w:val="20"/>
        </w:rPr>
        <w:t>:</w:t>
      </w:r>
      <w:r w:rsidR="0026273A">
        <w:rPr>
          <w:sz w:val="20"/>
          <w:szCs w:val="20"/>
        </w:rPr>
        <w:t xml:space="preserve">  </w:t>
      </w:r>
      <w:r w:rsidR="0026273A" w:rsidRPr="0026273A">
        <w:rPr>
          <w:rFonts w:cstheme="minorHAnsi"/>
          <w:sz w:val="24"/>
          <w:szCs w:val="24"/>
        </w:rPr>
        <w:t>□</w:t>
      </w:r>
      <w:r w:rsidR="0026273A">
        <w:rPr>
          <w:sz w:val="20"/>
          <w:szCs w:val="20"/>
        </w:rPr>
        <w:t xml:space="preserve"> Low Risk </w:t>
      </w:r>
      <w:r w:rsidR="0026273A" w:rsidRPr="0026273A">
        <w:rPr>
          <w:sz w:val="28"/>
          <w:szCs w:val="28"/>
        </w:rPr>
        <w:t xml:space="preserve"> </w:t>
      </w:r>
      <w:r w:rsidR="0026273A" w:rsidRPr="0026273A">
        <w:rPr>
          <w:rFonts w:cstheme="minorHAnsi"/>
          <w:sz w:val="24"/>
          <w:szCs w:val="24"/>
        </w:rPr>
        <w:t>□</w:t>
      </w:r>
      <w:r w:rsidR="0026273A">
        <w:rPr>
          <w:sz w:val="20"/>
          <w:szCs w:val="20"/>
        </w:rPr>
        <w:t xml:space="preserve"> High Risk</w:t>
      </w:r>
    </w:p>
    <w:p w:rsidR="008F77CE" w:rsidRPr="00823525" w:rsidRDefault="008F77CE" w:rsidP="00935CA0">
      <w:pPr>
        <w:spacing w:after="0" w:line="240" w:lineRule="auto"/>
        <w:jc w:val="both"/>
        <w:rPr>
          <w:sz w:val="16"/>
          <w:szCs w:val="16"/>
        </w:rPr>
      </w:pPr>
      <w:r w:rsidRPr="0026273A">
        <w:rPr>
          <w:b/>
          <w:sz w:val="20"/>
          <w:szCs w:val="20"/>
        </w:rPr>
        <w:t>Heightened Monitoring</w:t>
      </w:r>
      <w:r>
        <w:rPr>
          <w:sz w:val="20"/>
          <w:szCs w:val="20"/>
        </w:rPr>
        <w:t>:  Identify all appropriate heightened monitoring that is warranted for this Subrecipient (che</w:t>
      </w:r>
      <w:r w:rsidRPr="00823525">
        <w:rPr>
          <w:sz w:val="16"/>
          <w:szCs w:val="16"/>
        </w:rPr>
        <w:t xml:space="preserve">ck all that </w:t>
      </w:r>
      <w:proofErr w:type="gramStart"/>
      <w:r w:rsidRPr="00823525">
        <w:rPr>
          <w:sz w:val="16"/>
          <w:szCs w:val="16"/>
        </w:rPr>
        <w:t>apply</w:t>
      </w:r>
      <w:proofErr w:type="gramEnd"/>
      <w:r w:rsidRPr="00823525">
        <w:rPr>
          <w:sz w:val="16"/>
          <w:szCs w:val="16"/>
        </w:rPr>
        <w:t>):</w:t>
      </w:r>
    </w:p>
    <w:p w:rsidR="008F77CE" w:rsidRPr="00823525" w:rsidRDefault="008F77CE" w:rsidP="00935CA0">
      <w:pPr>
        <w:spacing w:after="0" w:line="240" w:lineRule="auto"/>
        <w:jc w:val="both"/>
        <w:rPr>
          <w:sz w:val="12"/>
          <w:szCs w:val="12"/>
        </w:rPr>
      </w:pP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26273A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 As</w:t>
      </w:r>
      <w:proofErr w:type="gramEnd"/>
      <w:r>
        <w:rPr>
          <w:sz w:val="20"/>
          <w:szCs w:val="20"/>
        </w:rPr>
        <w:t xml:space="preserve"> a condition of NMIMT payment, submit copies of supporting documentation.</w:t>
      </w: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 Technical performance reports submitted to NMIMT </w:t>
      </w:r>
      <w:r w:rsidR="0026273A" w:rsidRPr="0026273A">
        <w:rPr>
          <w:rFonts w:cstheme="minorHAnsi"/>
          <w:sz w:val="24"/>
          <w:szCs w:val="24"/>
        </w:rPr>
        <w:t>□</w:t>
      </w:r>
      <w:r w:rsidR="0062002C">
        <w:rPr>
          <w:sz w:val="20"/>
          <w:szCs w:val="20"/>
        </w:rPr>
        <w:t xml:space="preserve"> Qua</w:t>
      </w:r>
      <w:r w:rsidR="0026273A">
        <w:rPr>
          <w:sz w:val="20"/>
          <w:szCs w:val="20"/>
        </w:rPr>
        <w:t xml:space="preserve">rterly </w:t>
      </w:r>
      <w:r w:rsidR="0026273A" w:rsidRPr="0026273A">
        <w:rPr>
          <w:sz w:val="24"/>
          <w:szCs w:val="24"/>
        </w:rPr>
        <w:t xml:space="preserve"> </w:t>
      </w:r>
      <w:r w:rsidR="0026273A" w:rsidRPr="0026273A">
        <w:rPr>
          <w:rFonts w:cstheme="minorHAnsi"/>
          <w:sz w:val="24"/>
          <w:szCs w:val="24"/>
        </w:rPr>
        <w:t>□</w:t>
      </w:r>
      <w:r w:rsidR="0026273A">
        <w:rPr>
          <w:sz w:val="20"/>
          <w:szCs w:val="20"/>
        </w:rPr>
        <w:t xml:space="preserve"> Monthly </w:t>
      </w:r>
      <w:r w:rsidR="0026273A" w:rsidRPr="0026273A">
        <w:rPr>
          <w:rFonts w:cstheme="minorHAnsi"/>
          <w:sz w:val="24"/>
          <w:szCs w:val="24"/>
        </w:rPr>
        <w:t>□</w:t>
      </w:r>
      <w:r w:rsidR="0026273A">
        <w:rPr>
          <w:sz w:val="20"/>
          <w:szCs w:val="20"/>
        </w:rPr>
        <w:t xml:space="preserve">  Other:__________.</w:t>
      </w:r>
      <w:r>
        <w:rPr>
          <w:sz w:val="20"/>
          <w:szCs w:val="20"/>
        </w:rPr>
        <w:t xml:space="preserve"> </w:t>
      </w:r>
    </w:p>
    <w:p w:rsidR="008F77CE" w:rsidRDefault="008F77CE" w:rsidP="00E52086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 Submi</w:t>
      </w:r>
      <w:r w:rsidR="00E52086">
        <w:rPr>
          <w:sz w:val="20"/>
          <w:szCs w:val="20"/>
        </w:rPr>
        <w:t>ssion of trip reports within __</w:t>
      </w:r>
      <w:r>
        <w:rPr>
          <w:sz w:val="20"/>
          <w:szCs w:val="20"/>
        </w:rPr>
        <w:t xml:space="preserve"> days of travel to substantiate purpose of travel related to project activities.</w:t>
      </w: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 Site visit by PI or project director to evaluate both compliance with the scientific and technical objective of the</w:t>
      </w:r>
    </w:p>
    <w:p w:rsidR="008F77CE" w:rsidRDefault="008F77CE" w:rsidP="008F77C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A5366">
        <w:rPr>
          <w:sz w:val="20"/>
          <w:szCs w:val="20"/>
        </w:rPr>
        <w:t>p</w:t>
      </w:r>
      <w:r>
        <w:rPr>
          <w:sz w:val="20"/>
          <w:szCs w:val="20"/>
        </w:rPr>
        <w:t>roject and the appropriateness of the Subrecipient’s administrative systems, processes, and charges.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26273A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 </w:t>
      </w:r>
      <w:r>
        <w:rPr>
          <w:sz w:val="20"/>
          <w:szCs w:val="20"/>
        </w:rPr>
        <w:t>Audit of Subrecipient at Subrecipient’s expense.</w:t>
      </w:r>
    </w:p>
    <w:p w:rsidR="008F77CE" w:rsidRDefault="008F77CE" w:rsidP="00935CA0">
      <w:pPr>
        <w:spacing w:after="0" w:line="240" w:lineRule="auto"/>
        <w:jc w:val="both"/>
        <w:rPr>
          <w:sz w:val="20"/>
          <w:szCs w:val="20"/>
        </w:rPr>
      </w:pPr>
      <w:r w:rsidRPr="0026273A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 Other: _________________________________________________________________________________</w:t>
      </w:r>
    </w:p>
    <w:p w:rsidR="0026273A" w:rsidRPr="00E52086" w:rsidRDefault="0026273A" w:rsidP="00935CA0">
      <w:pPr>
        <w:spacing w:after="0" w:line="240" w:lineRule="auto"/>
        <w:jc w:val="both"/>
        <w:rPr>
          <w:sz w:val="16"/>
          <w:szCs w:val="16"/>
        </w:rPr>
      </w:pPr>
    </w:p>
    <w:p w:rsidR="0026273A" w:rsidRDefault="0026273A" w:rsidP="00935CA0">
      <w:pPr>
        <w:spacing w:after="0" w:line="240" w:lineRule="auto"/>
        <w:jc w:val="both"/>
        <w:rPr>
          <w:sz w:val="20"/>
          <w:szCs w:val="20"/>
        </w:rPr>
      </w:pPr>
      <w:r w:rsidRPr="00C635F1">
        <w:rPr>
          <w:b/>
          <w:sz w:val="20"/>
          <w:szCs w:val="20"/>
        </w:rPr>
        <w:t>Comments/Justifications</w:t>
      </w:r>
      <w:r>
        <w:rPr>
          <w:sz w:val="20"/>
          <w:szCs w:val="20"/>
        </w:rPr>
        <w:t>:</w:t>
      </w:r>
    </w:p>
    <w:p w:rsidR="00C635F1" w:rsidRPr="00823525" w:rsidRDefault="00C635F1" w:rsidP="00935CA0">
      <w:pPr>
        <w:spacing w:after="0" w:line="240" w:lineRule="auto"/>
        <w:jc w:val="both"/>
        <w:rPr>
          <w:sz w:val="18"/>
          <w:szCs w:val="18"/>
        </w:rPr>
      </w:pPr>
    </w:p>
    <w:p w:rsidR="00C635F1" w:rsidRPr="00823525" w:rsidRDefault="00C635F1" w:rsidP="00935CA0">
      <w:pPr>
        <w:spacing w:after="0" w:line="240" w:lineRule="auto"/>
        <w:jc w:val="both"/>
        <w:rPr>
          <w:sz w:val="18"/>
          <w:szCs w:val="18"/>
        </w:rPr>
      </w:pPr>
    </w:p>
    <w:p w:rsidR="00C635F1" w:rsidRPr="00823525" w:rsidRDefault="00C635F1" w:rsidP="00935CA0">
      <w:pPr>
        <w:spacing w:after="0" w:line="240" w:lineRule="auto"/>
        <w:jc w:val="both"/>
        <w:rPr>
          <w:sz w:val="18"/>
          <w:szCs w:val="18"/>
        </w:rPr>
      </w:pPr>
    </w:p>
    <w:p w:rsidR="00C635F1" w:rsidRPr="00823525" w:rsidRDefault="00C635F1" w:rsidP="00935CA0">
      <w:pPr>
        <w:spacing w:after="0" w:line="240" w:lineRule="auto"/>
        <w:jc w:val="both"/>
        <w:rPr>
          <w:sz w:val="18"/>
          <w:szCs w:val="18"/>
        </w:rPr>
      </w:pPr>
    </w:p>
    <w:p w:rsidR="00C635F1" w:rsidRPr="00823525" w:rsidRDefault="00C635F1" w:rsidP="00935CA0">
      <w:pPr>
        <w:spacing w:after="0" w:line="240" w:lineRule="auto"/>
        <w:jc w:val="both"/>
        <w:rPr>
          <w:sz w:val="18"/>
          <w:szCs w:val="18"/>
        </w:rPr>
      </w:pPr>
    </w:p>
    <w:p w:rsidR="00C635F1" w:rsidRPr="00935CA0" w:rsidRDefault="00C635F1" w:rsidP="00935CA0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C635F1">
        <w:rPr>
          <w:b/>
          <w:sz w:val="20"/>
          <w:szCs w:val="20"/>
        </w:rPr>
        <w:t>Filing instructions</w:t>
      </w:r>
      <w:r>
        <w:rPr>
          <w:sz w:val="20"/>
          <w:szCs w:val="20"/>
        </w:rPr>
        <w:t>: SPA to place copy of completed form in project file.</w:t>
      </w:r>
      <w:proofErr w:type="gramEnd"/>
    </w:p>
    <w:sectPr w:rsidR="00C635F1" w:rsidRPr="00935CA0" w:rsidSect="0026273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0CE6"/>
    <w:multiLevelType w:val="hybridMultilevel"/>
    <w:tmpl w:val="E3304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A0"/>
    <w:rsid w:val="0026273A"/>
    <w:rsid w:val="005B79F0"/>
    <w:rsid w:val="0062002C"/>
    <w:rsid w:val="006A5366"/>
    <w:rsid w:val="00823525"/>
    <w:rsid w:val="008F77CE"/>
    <w:rsid w:val="00935CA0"/>
    <w:rsid w:val="00A42F02"/>
    <w:rsid w:val="00A50FE4"/>
    <w:rsid w:val="00BF2F95"/>
    <w:rsid w:val="00C635F1"/>
    <w:rsid w:val="00E15AA2"/>
    <w:rsid w:val="00E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pls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D1CE-F1B6-4B05-A70E-F1F96D4D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Oty, Lisa</dc:creator>
  <cp:lastModifiedBy>Bailey, Gayle</cp:lastModifiedBy>
  <cp:revision>2</cp:revision>
  <cp:lastPrinted>2014-11-21T22:26:00Z</cp:lastPrinted>
  <dcterms:created xsi:type="dcterms:W3CDTF">2015-03-13T22:53:00Z</dcterms:created>
  <dcterms:modified xsi:type="dcterms:W3CDTF">2015-03-13T22:53:00Z</dcterms:modified>
</cp:coreProperties>
</file>