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58" w:rsidRDefault="00624958" w:rsidP="001D135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6"/>
      </w:tblGrid>
      <w:tr w:rsidR="00243C1D" w:rsidRPr="00D46B28" w:rsidTr="0015557E">
        <w:trPr>
          <w:trHeight w:val="2880"/>
          <w:jc w:val="center"/>
        </w:trPr>
        <w:tc>
          <w:tcPr>
            <w:tcW w:w="5000" w:type="pct"/>
          </w:tcPr>
          <w:p w:rsidR="00243C1D" w:rsidRPr="00D46B28" w:rsidRDefault="004B690D" w:rsidP="0015557E">
            <w:pPr>
              <w:jc w:val="center"/>
              <w:rPr>
                <w:rFonts w:ascii="Cambria" w:hAnsi="Cambria"/>
                <w:b/>
                <w:caps/>
              </w:rPr>
            </w:pPr>
            <w:bookmarkStart w:id="0" w:name="intro"/>
            <w:r>
              <w:rPr>
                <w:rFonts w:ascii="Cambria" w:hAnsi="Cambria"/>
                <w:b/>
                <w:caps/>
                <w:noProof/>
              </w:rPr>
              <w:drawing>
                <wp:inline distT="0" distB="0" distL="0" distR="0" wp14:anchorId="56A985E1" wp14:editId="4081DC82">
                  <wp:extent cx="5943600" cy="1730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MT Logo Color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3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C1D" w:rsidTr="0015557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243C1D" w:rsidRPr="008C05A4" w:rsidRDefault="00DF653D" w:rsidP="005D41DB">
            <w:pPr>
              <w:pStyle w:val="Title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 xml:space="preserve">Employee </w:t>
            </w:r>
            <w:bookmarkStart w:id="1" w:name="_GoBack"/>
            <w:bookmarkEnd w:id="1"/>
            <w:r w:rsidR="005D41DB">
              <w:rPr>
                <w:rFonts w:ascii="Trebuchet MS" w:hAnsi="Trebuchet MS"/>
                <w:sz w:val="56"/>
                <w:szCs w:val="56"/>
              </w:rPr>
              <w:t>Moving</w:t>
            </w:r>
            <w:r w:rsidR="00344033">
              <w:rPr>
                <w:rFonts w:ascii="Trebuchet MS" w:hAnsi="Trebuchet MS"/>
                <w:sz w:val="56"/>
                <w:szCs w:val="56"/>
              </w:rPr>
              <w:t xml:space="preserve"> </w:t>
            </w:r>
            <w:r w:rsidR="00EF0396">
              <w:rPr>
                <w:rFonts w:ascii="Trebuchet MS" w:hAnsi="Trebuchet MS"/>
                <w:sz w:val="56"/>
                <w:szCs w:val="56"/>
              </w:rPr>
              <w:t xml:space="preserve">and Relocation Reimbursement </w:t>
            </w:r>
            <w:r w:rsidR="00344033">
              <w:rPr>
                <w:rFonts w:ascii="Trebuchet MS" w:hAnsi="Trebuchet MS"/>
                <w:sz w:val="56"/>
                <w:szCs w:val="56"/>
              </w:rPr>
              <w:t>Procedures</w:t>
            </w:r>
          </w:p>
        </w:tc>
      </w:tr>
      <w:tr w:rsidR="00243C1D" w:rsidTr="0015557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A74482" w:rsidRPr="00BE4870" w:rsidRDefault="00EF525C" w:rsidP="0085491D">
            <w:pPr>
              <w:pStyle w:val="Subtitle"/>
            </w:pPr>
            <w:r>
              <w:t xml:space="preserve">Specified </w:t>
            </w:r>
            <w:r w:rsidR="00792272" w:rsidRPr="00BE4870">
              <w:t xml:space="preserve">NMT </w:t>
            </w:r>
            <w:r w:rsidR="005D41DB">
              <w:t>Faculty and</w:t>
            </w:r>
            <w:r w:rsidR="00C72F5A" w:rsidRPr="007E5A05">
              <w:t xml:space="preserve"> Staff</w:t>
            </w:r>
          </w:p>
          <w:p w:rsidR="00243C1D" w:rsidRPr="0085491D" w:rsidRDefault="00243C1D" w:rsidP="0085491D">
            <w:pPr>
              <w:pStyle w:val="Subtitle"/>
            </w:pPr>
          </w:p>
        </w:tc>
      </w:tr>
      <w:tr w:rsidR="00243C1D" w:rsidTr="0015557E">
        <w:trPr>
          <w:trHeight w:val="360"/>
          <w:jc w:val="center"/>
        </w:trPr>
        <w:tc>
          <w:tcPr>
            <w:tcW w:w="5000" w:type="pct"/>
            <w:vAlign w:val="center"/>
          </w:tcPr>
          <w:p w:rsidR="00243C1D" w:rsidRPr="008C05A4" w:rsidRDefault="00243C1D" w:rsidP="0015557E">
            <w:pPr>
              <w:jc w:val="center"/>
              <w:rPr>
                <w:rFonts w:ascii="Verdana" w:hAnsi="Verdana"/>
              </w:rPr>
            </w:pPr>
          </w:p>
        </w:tc>
      </w:tr>
      <w:tr w:rsidR="00243C1D" w:rsidTr="0015557E">
        <w:trPr>
          <w:trHeight w:val="360"/>
          <w:jc w:val="center"/>
        </w:trPr>
        <w:tc>
          <w:tcPr>
            <w:tcW w:w="5000" w:type="pct"/>
            <w:vAlign w:val="center"/>
          </w:tcPr>
          <w:p w:rsidR="00243C1D" w:rsidRPr="00B108A2" w:rsidRDefault="00243C1D" w:rsidP="00647C01">
            <w:pPr>
              <w:spacing w:after="0"/>
              <w:jc w:val="center"/>
              <w:rPr>
                <w:rFonts w:ascii="Trebuchet MS" w:hAnsi="Trebuchet MS"/>
                <w:bCs/>
                <w:sz w:val="26"/>
                <w:szCs w:val="26"/>
              </w:rPr>
            </w:pPr>
            <w:r w:rsidRPr="00B108A2">
              <w:rPr>
                <w:rFonts w:ascii="Trebuchet MS" w:hAnsi="Trebuchet MS"/>
                <w:bCs/>
                <w:sz w:val="26"/>
                <w:szCs w:val="26"/>
              </w:rPr>
              <w:t>New Mexico Tech Business Office</w:t>
            </w:r>
          </w:p>
        </w:tc>
      </w:tr>
      <w:tr w:rsidR="00243C1D" w:rsidTr="0015557E">
        <w:trPr>
          <w:trHeight w:val="360"/>
          <w:jc w:val="center"/>
        </w:trPr>
        <w:tc>
          <w:tcPr>
            <w:tcW w:w="5000" w:type="pct"/>
            <w:vAlign w:val="center"/>
          </w:tcPr>
          <w:p w:rsidR="00243C1D" w:rsidRPr="00B108A2" w:rsidRDefault="00243C1D" w:rsidP="004B690D">
            <w:pPr>
              <w:pStyle w:val="OfficeandModifyDate"/>
            </w:pPr>
            <w:r w:rsidRPr="00B108A2">
              <w:t>Last modified</w:t>
            </w:r>
            <w:r w:rsidR="00DA7E9E">
              <w:t xml:space="preserve"> </w:t>
            </w:r>
            <w:r w:rsidR="00DA5B29">
              <w:t>June 2022</w:t>
            </w:r>
          </w:p>
        </w:tc>
      </w:tr>
    </w:tbl>
    <w:p w:rsidR="00036670" w:rsidRDefault="00036670" w:rsidP="00036670">
      <w:pPr>
        <w:spacing w:after="0"/>
      </w:pPr>
    </w:p>
    <w:p w:rsidR="00036670" w:rsidRDefault="00036670" w:rsidP="00036670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36670" w:rsidTr="003F7E0F">
        <w:tc>
          <w:tcPr>
            <w:tcW w:w="5000" w:type="pct"/>
          </w:tcPr>
          <w:p w:rsidR="00036670" w:rsidRDefault="00036670" w:rsidP="003F7E0F">
            <w:pPr>
              <w:pStyle w:val="Abstract"/>
              <w:framePr w:hSpace="0" w:wrap="auto" w:hAnchor="text" w:xAlign="left" w:yAlign="inline"/>
            </w:pPr>
          </w:p>
          <w:p w:rsidR="00036670" w:rsidRPr="00FD24A7" w:rsidRDefault="00036670" w:rsidP="003F7E0F">
            <w:pPr>
              <w:pStyle w:val="Abstract"/>
              <w:framePr w:hSpace="0" w:wrap="auto" w:hAnchor="text" w:xAlign="left" w:yAlign="inline"/>
            </w:pPr>
            <w:r w:rsidRPr="003B54DC">
              <w:t xml:space="preserve">The purpose of this document is to establish guidelines for the </w:t>
            </w:r>
            <w:r w:rsidR="005D41DB">
              <w:t>Moving</w:t>
            </w:r>
            <w:r w:rsidR="00A00ECB">
              <w:t xml:space="preserve"> and Relocation Reimbursement</w:t>
            </w:r>
            <w:r w:rsidRPr="003B54DC">
              <w:t xml:space="preserve"> for </w:t>
            </w:r>
            <w:r w:rsidR="00EF525C">
              <w:t xml:space="preserve">specified </w:t>
            </w:r>
            <w:r w:rsidRPr="003B54DC">
              <w:t xml:space="preserve">New Mexico Institute of Mining and </w:t>
            </w:r>
            <w:r w:rsidR="000B22DD">
              <w:t>Technology’s (NMIMT) Staff and Faculty</w:t>
            </w:r>
            <w:r w:rsidRPr="003B54DC">
              <w:t>.</w:t>
            </w:r>
          </w:p>
          <w:p w:rsidR="00036670" w:rsidRDefault="00036670" w:rsidP="003F7E0F"/>
          <w:p w:rsidR="00036670" w:rsidRPr="009F377B" w:rsidRDefault="00036670" w:rsidP="003F7E0F">
            <w:pPr>
              <w:pStyle w:val="Note"/>
            </w:pPr>
            <w:r>
              <w:t>This document is continually being updated; we would appreciate any information and/or insight that would help us develop documentation for NMIMT’s departments.</w:t>
            </w:r>
            <w:r w:rsidRPr="009F377B">
              <w:t xml:space="preserve"> </w:t>
            </w:r>
          </w:p>
        </w:tc>
      </w:tr>
    </w:tbl>
    <w:p w:rsidR="00036670" w:rsidRDefault="00036670" w:rsidP="00036670"/>
    <w:p w:rsidR="00243C1D" w:rsidRDefault="00243C1D" w:rsidP="00647C01">
      <w:pPr>
        <w:spacing w:after="0"/>
      </w:pPr>
    </w:p>
    <w:p w:rsidR="00036670" w:rsidRDefault="00036670" w:rsidP="00647C01">
      <w:pPr>
        <w:spacing w:after="0"/>
      </w:pPr>
    </w:p>
    <w:p w:rsidR="00347808" w:rsidRDefault="00243C1D" w:rsidP="00347808">
      <w:pPr>
        <w:pStyle w:val="TOCHeading1"/>
      </w:pPr>
      <w:bookmarkStart w:id="2" w:name="_Toc241493409"/>
      <w:bookmarkStart w:id="3" w:name="_Toc241494025"/>
      <w:r>
        <w:lastRenderedPageBreak/>
        <w:t>Table of Contents</w:t>
      </w:r>
      <w:bookmarkEnd w:id="2"/>
      <w:bookmarkEnd w:id="3"/>
    </w:p>
    <w:p w:rsidR="00371F01" w:rsidRDefault="007922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fldChar w:fldCharType="begin"/>
      </w:r>
      <w:r w:rsidR="00347808">
        <w:instrText xml:space="preserve"> TOC \o "1-3" \h \z \u </w:instrText>
      </w:r>
      <w:r>
        <w:fldChar w:fldCharType="separate"/>
      </w:r>
      <w:hyperlink w:anchor="_Toc104759784" w:history="1">
        <w:r w:rsidR="00371F01" w:rsidRPr="001D6586">
          <w:rPr>
            <w:rStyle w:val="Hyperlink"/>
          </w:rPr>
          <w:t>I.</w:t>
        </w:r>
        <w:r w:rsidR="00371F0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1F01" w:rsidRPr="001D6586">
          <w:rPr>
            <w:rStyle w:val="Hyperlink"/>
          </w:rPr>
          <w:t>Moving and Relocation Reimbursement Procedures</w:t>
        </w:r>
        <w:r w:rsidR="00371F01">
          <w:rPr>
            <w:webHidden/>
          </w:rPr>
          <w:tab/>
        </w:r>
        <w:r w:rsidR="00371F01">
          <w:rPr>
            <w:webHidden/>
          </w:rPr>
          <w:fldChar w:fldCharType="begin"/>
        </w:r>
        <w:r w:rsidR="00371F01">
          <w:rPr>
            <w:webHidden/>
          </w:rPr>
          <w:instrText xml:space="preserve"> PAGEREF _Toc104759784 \h </w:instrText>
        </w:r>
        <w:r w:rsidR="00371F01">
          <w:rPr>
            <w:webHidden/>
          </w:rPr>
        </w:r>
        <w:r w:rsidR="00371F01">
          <w:rPr>
            <w:webHidden/>
          </w:rPr>
          <w:fldChar w:fldCharType="separate"/>
        </w:r>
        <w:r w:rsidR="00375113">
          <w:rPr>
            <w:webHidden/>
          </w:rPr>
          <w:t>3</w:t>
        </w:r>
        <w:r w:rsidR="00371F01">
          <w:rPr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85" w:history="1">
        <w:r w:rsidR="00371F01" w:rsidRPr="001D6586">
          <w:rPr>
            <w:rStyle w:val="Hyperlink"/>
            <w:noProof/>
          </w:rPr>
          <w:t>A.  General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_Toc104759785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3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86" w:history="1">
        <w:r w:rsidR="00371F01" w:rsidRPr="001D6586">
          <w:rPr>
            <w:rStyle w:val="Hyperlink"/>
            <w:noProof/>
          </w:rPr>
          <w:t>B.  Employee Eligibility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_Toc104759786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3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87" w:history="1">
        <w:r w:rsidR="00371F01" w:rsidRPr="001D6586">
          <w:rPr>
            <w:rStyle w:val="Hyperlink"/>
            <w:noProof/>
          </w:rPr>
          <w:t>C. Approval and Request for Payment Process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_Toc104759787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3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88" w:history="1">
        <w:r w:rsidR="00371F01" w:rsidRPr="001D6586">
          <w:rPr>
            <w:rStyle w:val="Hyperlink"/>
            <w:noProof/>
          </w:rPr>
          <w:t>D. Payment Methods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_Toc104759788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3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89" w:history="1">
        <w:r w:rsidR="00371F01" w:rsidRPr="001D6586">
          <w:rPr>
            <w:rStyle w:val="Hyperlink"/>
            <w:noProof/>
          </w:rPr>
          <w:t>Moving and relocation payment methods include: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_Toc104759789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4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90" w:history="1">
        <w:r w:rsidR="00371F01" w:rsidRPr="001D6586">
          <w:rPr>
            <w:rStyle w:val="Hyperlink"/>
            <w:noProof/>
          </w:rPr>
          <w:t>1. Flat Allowance or Advance Payment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_Toc104759790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4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91" w:history="1">
        <w:r w:rsidR="00371F01" w:rsidRPr="001D6586">
          <w:rPr>
            <w:rStyle w:val="Hyperlink"/>
            <w:noProof/>
          </w:rPr>
          <w:t>2. Reimbursement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_Toc104759791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4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92" w:history="1">
        <w:r w:rsidR="00371F01" w:rsidRPr="001D6586">
          <w:rPr>
            <w:rStyle w:val="Hyperlink"/>
            <w:noProof/>
          </w:rPr>
          <w:t>E.  Allowable Expenditures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_Toc104759792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4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4759793" w:history="1">
        <w:r w:rsidR="00371F01" w:rsidRPr="001D6586">
          <w:rPr>
            <w:rStyle w:val="Hyperlink"/>
            <w:noProof/>
          </w:rPr>
          <w:t>F.  Unallowable Expenditures</w:t>
        </w:r>
        <w:r w:rsidR="00371F01">
          <w:rPr>
            <w:noProof/>
            <w:webHidden/>
          </w:rPr>
          <w:tab/>
        </w:r>
        <w:r w:rsidR="00371F01">
          <w:rPr>
            <w:noProof/>
            <w:webHidden/>
          </w:rPr>
          <w:fldChar w:fldCharType="begin"/>
        </w:r>
        <w:r w:rsidR="00371F01">
          <w:rPr>
            <w:noProof/>
            <w:webHidden/>
          </w:rPr>
          <w:instrText xml:space="preserve"> PAGEREF _Toc104759793 \h </w:instrText>
        </w:r>
        <w:r w:rsidR="00371F01">
          <w:rPr>
            <w:noProof/>
            <w:webHidden/>
          </w:rPr>
        </w:r>
        <w:r w:rsidR="00371F01">
          <w:rPr>
            <w:noProof/>
            <w:webHidden/>
          </w:rPr>
          <w:fldChar w:fldCharType="separate"/>
        </w:r>
        <w:r w:rsidR="00375113">
          <w:rPr>
            <w:noProof/>
            <w:webHidden/>
          </w:rPr>
          <w:t>5</w:t>
        </w:r>
        <w:r w:rsidR="00371F01">
          <w:rPr>
            <w:noProof/>
            <w:webHidden/>
          </w:rPr>
          <w:fldChar w:fldCharType="end"/>
        </w:r>
      </w:hyperlink>
    </w:p>
    <w:p w:rsidR="00371F01" w:rsidRDefault="007368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04759794" w:history="1">
        <w:r w:rsidR="00371F01" w:rsidRPr="001D6586">
          <w:rPr>
            <w:rStyle w:val="Hyperlink"/>
          </w:rPr>
          <w:t>II.</w:t>
        </w:r>
        <w:r w:rsidR="00371F0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1F01" w:rsidRPr="001D6586">
          <w:rPr>
            <w:rStyle w:val="Hyperlink"/>
          </w:rPr>
          <w:t>Tax Obligations</w:t>
        </w:r>
        <w:r w:rsidR="00371F01">
          <w:rPr>
            <w:webHidden/>
          </w:rPr>
          <w:tab/>
        </w:r>
        <w:r w:rsidR="00371F01">
          <w:rPr>
            <w:webHidden/>
          </w:rPr>
          <w:fldChar w:fldCharType="begin"/>
        </w:r>
        <w:r w:rsidR="00371F01">
          <w:rPr>
            <w:webHidden/>
          </w:rPr>
          <w:instrText xml:space="preserve"> PAGEREF _Toc104759794 \h </w:instrText>
        </w:r>
        <w:r w:rsidR="00371F01">
          <w:rPr>
            <w:webHidden/>
          </w:rPr>
        </w:r>
        <w:r w:rsidR="00371F01">
          <w:rPr>
            <w:webHidden/>
          </w:rPr>
          <w:fldChar w:fldCharType="separate"/>
        </w:r>
        <w:r w:rsidR="00375113">
          <w:rPr>
            <w:webHidden/>
          </w:rPr>
          <w:t>6</w:t>
        </w:r>
        <w:r w:rsidR="00371F01">
          <w:rPr>
            <w:webHidden/>
          </w:rPr>
          <w:fldChar w:fldCharType="end"/>
        </w:r>
      </w:hyperlink>
    </w:p>
    <w:p w:rsidR="00371F01" w:rsidRDefault="007368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04759795" w:history="1">
        <w:r w:rsidR="00371F01" w:rsidRPr="001D6586">
          <w:rPr>
            <w:rStyle w:val="Hyperlink"/>
          </w:rPr>
          <w:t>III.</w:t>
        </w:r>
        <w:r w:rsidR="00371F0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1F01" w:rsidRPr="001D6586">
          <w:rPr>
            <w:rStyle w:val="Hyperlink"/>
          </w:rPr>
          <w:t>Sponsored Projects</w:t>
        </w:r>
        <w:r w:rsidR="00371F01">
          <w:rPr>
            <w:webHidden/>
          </w:rPr>
          <w:tab/>
        </w:r>
        <w:r w:rsidR="00371F01">
          <w:rPr>
            <w:webHidden/>
          </w:rPr>
          <w:fldChar w:fldCharType="begin"/>
        </w:r>
        <w:r w:rsidR="00371F01">
          <w:rPr>
            <w:webHidden/>
          </w:rPr>
          <w:instrText xml:space="preserve"> PAGEREF _Toc104759795 \h </w:instrText>
        </w:r>
        <w:r w:rsidR="00371F01">
          <w:rPr>
            <w:webHidden/>
          </w:rPr>
        </w:r>
        <w:r w:rsidR="00371F01">
          <w:rPr>
            <w:webHidden/>
          </w:rPr>
          <w:fldChar w:fldCharType="separate"/>
        </w:r>
        <w:r w:rsidR="00375113">
          <w:rPr>
            <w:webHidden/>
          </w:rPr>
          <w:t>7</w:t>
        </w:r>
        <w:r w:rsidR="00371F01">
          <w:rPr>
            <w:webHidden/>
          </w:rPr>
          <w:fldChar w:fldCharType="end"/>
        </w:r>
      </w:hyperlink>
    </w:p>
    <w:p w:rsidR="00371F01" w:rsidRDefault="007368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04759796" w:history="1">
        <w:r w:rsidR="00371F01" w:rsidRPr="001D6586">
          <w:rPr>
            <w:rStyle w:val="Hyperlink"/>
          </w:rPr>
          <w:t>IV.</w:t>
        </w:r>
        <w:r w:rsidR="00371F0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1F01" w:rsidRPr="001D6586">
          <w:rPr>
            <w:rStyle w:val="Hyperlink"/>
          </w:rPr>
          <w:t>Employee Obligation</w:t>
        </w:r>
        <w:r w:rsidR="00371F01">
          <w:rPr>
            <w:webHidden/>
          </w:rPr>
          <w:tab/>
        </w:r>
        <w:r w:rsidR="00371F01">
          <w:rPr>
            <w:webHidden/>
          </w:rPr>
          <w:fldChar w:fldCharType="begin"/>
        </w:r>
        <w:r w:rsidR="00371F01">
          <w:rPr>
            <w:webHidden/>
          </w:rPr>
          <w:instrText xml:space="preserve"> PAGEREF _Toc104759796 \h </w:instrText>
        </w:r>
        <w:r w:rsidR="00371F01">
          <w:rPr>
            <w:webHidden/>
          </w:rPr>
        </w:r>
        <w:r w:rsidR="00371F01">
          <w:rPr>
            <w:webHidden/>
          </w:rPr>
          <w:fldChar w:fldCharType="separate"/>
        </w:r>
        <w:r w:rsidR="00375113">
          <w:rPr>
            <w:webHidden/>
          </w:rPr>
          <w:t>8</w:t>
        </w:r>
        <w:r w:rsidR="00371F01">
          <w:rPr>
            <w:webHidden/>
          </w:rPr>
          <w:fldChar w:fldCharType="end"/>
        </w:r>
      </w:hyperlink>
    </w:p>
    <w:p w:rsidR="002442D5" w:rsidRPr="006F6BF7" w:rsidRDefault="00792272" w:rsidP="006F6B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fldChar w:fldCharType="end"/>
      </w:r>
      <w:bookmarkEnd w:id="0"/>
      <w:r w:rsidR="003328BA" w:rsidRPr="00922B90">
        <w:rPr>
          <w:b w:val="0"/>
          <w:sz w:val="16"/>
          <w:szCs w:val="16"/>
        </w:rPr>
        <w:t xml:space="preserve"> </w:t>
      </w:r>
    </w:p>
    <w:p w:rsidR="004B690D" w:rsidRPr="005D41DB" w:rsidRDefault="004B690D" w:rsidP="003C5AE0">
      <w:pPr>
        <w:keepLines w:val="0"/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</w:p>
    <w:p w:rsidR="004503EA" w:rsidRPr="0026497F" w:rsidRDefault="004503EA" w:rsidP="004B690D">
      <w:pPr>
        <w:keepLines w:val="0"/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</w:p>
    <w:p w:rsidR="004B690D" w:rsidRPr="0026497F" w:rsidRDefault="004B690D" w:rsidP="005D41DB">
      <w:pPr>
        <w:keepLines w:val="0"/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</w:p>
    <w:p w:rsidR="004444FD" w:rsidRPr="0026497F" w:rsidRDefault="004444FD" w:rsidP="007347D4">
      <w:pPr>
        <w:keepLines w:val="0"/>
        <w:spacing w:before="200" w:after="0"/>
        <w:rPr>
          <w:rFonts w:eastAsia="Times New Roman" w:cs="LFJEOP+TimesNewRoman"/>
          <w:color w:val="000000"/>
          <w:sz w:val="20"/>
          <w:szCs w:val="20"/>
        </w:rPr>
      </w:pPr>
    </w:p>
    <w:p w:rsidR="0026497F" w:rsidRPr="00132C5E" w:rsidRDefault="0026497F" w:rsidP="0026497F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</w:p>
    <w:p w:rsidR="00B216B8" w:rsidRPr="003328BA" w:rsidRDefault="008B453A" w:rsidP="00B216B8">
      <w:pPr>
        <w:pStyle w:val="Heading1"/>
      </w:pPr>
      <w:bookmarkStart w:id="4" w:name="_Toc104759784"/>
      <w:r>
        <w:lastRenderedPageBreak/>
        <w:t xml:space="preserve">Moving </w:t>
      </w:r>
      <w:r w:rsidR="00A00ECB">
        <w:t xml:space="preserve">and Relocation Reimbursement </w:t>
      </w:r>
      <w:r>
        <w:t>Procedures</w:t>
      </w:r>
      <w:bookmarkEnd w:id="4"/>
    </w:p>
    <w:p w:rsidR="00B216B8" w:rsidRPr="009F2FBC" w:rsidRDefault="00B216B8" w:rsidP="00B216B8">
      <w:pPr>
        <w:pStyle w:val="Heading2"/>
        <w:ind w:left="360" w:hanging="360"/>
      </w:pPr>
      <w:bookmarkStart w:id="5" w:name="_Toc104759785"/>
      <w:r w:rsidRPr="009F2FBC">
        <w:rPr>
          <w:bCs w:val="0"/>
          <w:iCs w:val="0"/>
        </w:rPr>
        <w:t xml:space="preserve">A.  </w:t>
      </w:r>
      <w:r w:rsidR="005D41DB">
        <w:rPr>
          <w:bCs w:val="0"/>
          <w:iCs w:val="0"/>
        </w:rPr>
        <w:t>General</w:t>
      </w:r>
      <w:bookmarkEnd w:id="5"/>
    </w:p>
    <w:p w:rsidR="005D5200" w:rsidRDefault="005D41DB" w:rsidP="005D5200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5D41DB">
        <w:rPr>
          <w:sz w:val="20"/>
          <w:szCs w:val="20"/>
        </w:rPr>
        <w:t xml:space="preserve">New Mexico Tech (NMT) recognizes that payment or reimbursement of the costs associated with the </w:t>
      </w:r>
      <w:r w:rsidR="008A5893" w:rsidRPr="005D41DB">
        <w:rPr>
          <w:sz w:val="20"/>
          <w:szCs w:val="20"/>
        </w:rPr>
        <w:t>relocati</w:t>
      </w:r>
      <w:r w:rsidR="008A5893">
        <w:rPr>
          <w:sz w:val="20"/>
          <w:szCs w:val="20"/>
        </w:rPr>
        <w:t>on</w:t>
      </w:r>
      <w:r w:rsidR="008A5893" w:rsidRPr="005D41DB">
        <w:rPr>
          <w:sz w:val="20"/>
          <w:szCs w:val="20"/>
        </w:rPr>
        <w:t xml:space="preserve"> </w:t>
      </w:r>
      <w:r w:rsidRPr="005D41DB">
        <w:rPr>
          <w:sz w:val="20"/>
          <w:szCs w:val="20"/>
        </w:rPr>
        <w:t xml:space="preserve">of new employees may be an important consideration in the recruitment process. </w:t>
      </w:r>
      <w:r w:rsidR="005D5200">
        <w:rPr>
          <w:rFonts w:eastAsia="Times New Roman" w:cs="LFJEOP+TimesNewRoman"/>
          <w:color w:val="000000"/>
          <w:sz w:val="20"/>
          <w:szCs w:val="20"/>
        </w:rPr>
        <w:t>Thus, hiring officers may negotiate a moving</w:t>
      </w:r>
      <w:r w:rsidR="00316552">
        <w:rPr>
          <w:rFonts w:eastAsia="Times New Roman" w:cs="LFJEOP+TimesNewRoman"/>
          <w:color w:val="000000"/>
          <w:sz w:val="20"/>
          <w:szCs w:val="20"/>
        </w:rPr>
        <w:t xml:space="preserve"> and relocation</w:t>
      </w:r>
      <w:r w:rsidR="005D5200">
        <w:rPr>
          <w:rFonts w:eastAsia="Times New Roman" w:cs="LFJEOP+TimesNewRoman"/>
          <w:color w:val="000000"/>
          <w:sz w:val="20"/>
          <w:szCs w:val="20"/>
        </w:rPr>
        <w:t xml:space="preserve"> allowance to reimburse some portion, or pay for all, of the moving </w:t>
      </w:r>
      <w:r w:rsidR="00492CBA">
        <w:rPr>
          <w:rFonts w:eastAsia="Times New Roman" w:cs="LFJEOP+TimesNewRoman"/>
          <w:color w:val="000000"/>
          <w:sz w:val="20"/>
          <w:szCs w:val="20"/>
        </w:rPr>
        <w:t xml:space="preserve">and relocation </w:t>
      </w:r>
      <w:r w:rsidR="005D5200">
        <w:rPr>
          <w:rFonts w:eastAsia="Times New Roman" w:cs="LFJEOP+TimesNewRoman"/>
          <w:color w:val="000000"/>
          <w:sz w:val="20"/>
          <w:szCs w:val="20"/>
        </w:rPr>
        <w:t>expenses for new employees</w:t>
      </w:r>
      <w:r w:rsidR="005B32B2">
        <w:rPr>
          <w:rFonts w:eastAsia="Times New Roman" w:cs="LFJEOP+TimesNewRoman"/>
          <w:color w:val="000000"/>
          <w:sz w:val="20"/>
          <w:szCs w:val="20"/>
        </w:rPr>
        <w:t xml:space="preserve"> when</w:t>
      </w:r>
      <w:r w:rsidR="005D5200">
        <w:rPr>
          <w:rFonts w:eastAsia="Times New Roman" w:cs="LFJEOP+TimesNewRoman"/>
          <w:color w:val="000000"/>
          <w:sz w:val="20"/>
          <w:szCs w:val="20"/>
        </w:rPr>
        <w:t xml:space="preserve"> the payment is in the best interest of NMT, benefits the recruitment effort, </w:t>
      </w:r>
      <w:r w:rsidR="00BA5A2C">
        <w:rPr>
          <w:rFonts w:eastAsia="Times New Roman" w:cs="LFJEOP+TimesNewRoman"/>
          <w:color w:val="000000"/>
          <w:sz w:val="20"/>
          <w:szCs w:val="20"/>
        </w:rPr>
        <w:t>and</w:t>
      </w:r>
      <w:r w:rsidR="005D5200">
        <w:rPr>
          <w:rFonts w:eastAsia="Times New Roman" w:cs="LFJEOP+TimesNewRoman"/>
          <w:color w:val="000000"/>
          <w:sz w:val="20"/>
          <w:szCs w:val="20"/>
        </w:rPr>
        <w:t xml:space="preserve"> funds are available.</w:t>
      </w:r>
      <w:r w:rsidR="002B2A57">
        <w:rPr>
          <w:rFonts w:eastAsia="Times New Roman" w:cs="LFJEOP+TimesNewRoman"/>
          <w:color w:val="000000"/>
          <w:sz w:val="20"/>
          <w:szCs w:val="20"/>
        </w:rPr>
        <w:t xml:space="preserve"> </w:t>
      </w:r>
    </w:p>
    <w:p w:rsidR="001123E6" w:rsidRDefault="001123E6" w:rsidP="0048786A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Moving </w:t>
      </w:r>
      <w:r w:rsidR="00492CBA">
        <w:rPr>
          <w:sz w:val="20"/>
          <w:szCs w:val="20"/>
        </w:rPr>
        <w:t xml:space="preserve">and relocation </w:t>
      </w:r>
      <w:r>
        <w:rPr>
          <w:sz w:val="20"/>
          <w:szCs w:val="20"/>
        </w:rPr>
        <w:t>expenses can be paid as a flat allowance (</w:t>
      </w:r>
      <w:r w:rsidR="00652594">
        <w:rPr>
          <w:sz w:val="20"/>
          <w:szCs w:val="20"/>
        </w:rPr>
        <w:t xml:space="preserve">a reasonable fixed amount; </w:t>
      </w:r>
      <w:r>
        <w:rPr>
          <w:sz w:val="20"/>
          <w:szCs w:val="20"/>
        </w:rPr>
        <w:t>no receipts required) or as a moving</w:t>
      </w:r>
      <w:r w:rsidR="00492CBA">
        <w:rPr>
          <w:sz w:val="20"/>
          <w:szCs w:val="20"/>
        </w:rPr>
        <w:t xml:space="preserve"> and relocation</w:t>
      </w:r>
      <w:r>
        <w:rPr>
          <w:sz w:val="20"/>
          <w:szCs w:val="20"/>
        </w:rPr>
        <w:t xml:space="preserve"> </w:t>
      </w:r>
      <w:r w:rsidR="00C21BD8">
        <w:rPr>
          <w:sz w:val="20"/>
          <w:szCs w:val="20"/>
        </w:rPr>
        <w:t>expense</w:t>
      </w:r>
      <w:r w:rsidR="002C7D26">
        <w:rPr>
          <w:sz w:val="20"/>
          <w:szCs w:val="20"/>
        </w:rPr>
        <w:t xml:space="preserve"> </w:t>
      </w:r>
      <w:r>
        <w:rPr>
          <w:sz w:val="20"/>
          <w:szCs w:val="20"/>
        </w:rPr>
        <w:t>reimbursement (receipts required).</w:t>
      </w:r>
    </w:p>
    <w:p w:rsidR="005037EE" w:rsidRDefault="002A3015" w:rsidP="005D5200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As explained in greater detail later in these procedures, t</w:t>
      </w:r>
      <w:r w:rsidR="00DB2256">
        <w:rPr>
          <w:sz w:val="20"/>
          <w:szCs w:val="20"/>
        </w:rPr>
        <w:t>he payment of t</w:t>
      </w:r>
      <w:r w:rsidR="00A8436F">
        <w:rPr>
          <w:sz w:val="20"/>
          <w:szCs w:val="20"/>
        </w:rPr>
        <w:t xml:space="preserve">he moving </w:t>
      </w:r>
      <w:r w:rsidR="00492CBA">
        <w:rPr>
          <w:sz w:val="20"/>
          <w:szCs w:val="20"/>
        </w:rPr>
        <w:t xml:space="preserve">and relocation </w:t>
      </w:r>
      <w:r w:rsidR="00A8436F">
        <w:rPr>
          <w:sz w:val="20"/>
          <w:szCs w:val="20"/>
        </w:rPr>
        <w:t xml:space="preserve">expenses </w:t>
      </w:r>
      <w:r w:rsidR="00B57FB3" w:rsidRPr="00FC4982">
        <w:rPr>
          <w:sz w:val="20"/>
          <w:szCs w:val="20"/>
        </w:rPr>
        <w:t xml:space="preserve">will be reflected in the </w:t>
      </w:r>
      <w:r w:rsidR="00E13359">
        <w:rPr>
          <w:sz w:val="20"/>
          <w:szCs w:val="20"/>
        </w:rPr>
        <w:t xml:space="preserve">new </w:t>
      </w:r>
      <w:r w:rsidR="00B57FB3" w:rsidRPr="00FC4982">
        <w:rPr>
          <w:sz w:val="20"/>
          <w:szCs w:val="20"/>
        </w:rPr>
        <w:t>employee’s earnings, and subject to income taxes.</w:t>
      </w:r>
    </w:p>
    <w:p w:rsidR="00646406" w:rsidRPr="00646406" w:rsidRDefault="00646406" w:rsidP="003F18CA">
      <w:pPr>
        <w:pStyle w:val="Heading2"/>
        <w:ind w:left="360" w:hanging="360"/>
      </w:pPr>
      <w:bookmarkStart w:id="6" w:name="_Toc104759786"/>
      <w:r>
        <w:rPr>
          <w:bCs w:val="0"/>
          <w:iCs w:val="0"/>
        </w:rPr>
        <w:t>B</w:t>
      </w:r>
      <w:r w:rsidRPr="009F2FBC">
        <w:rPr>
          <w:bCs w:val="0"/>
          <w:iCs w:val="0"/>
        </w:rPr>
        <w:t xml:space="preserve">.  </w:t>
      </w:r>
      <w:r>
        <w:rPr>
          <w:bCs w:val="0"/>
          <w:iCs w:val="0"/>
        </w:rPr>
        <w:t>Employee Eligibility</w:t>
      </w:r>
      <w:bookmarkEnd w:id="6"/>
    </w:p>
    <w:p w:rsidR="00D4132E" w:rsidRDefault="002B2A57" w:rsidP="005D5200">
      <w:pPr>
        <w:keepLines w:val="0"/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  <w:r>
        <w:rPr>
          <w:rFonts w:eastAsia="Times New Roman" w:cs="LFJEOP+TimesNewRoman"/>
          <w:color w:val="000000"/>
          <w:sz w:val="20"/>
          <w:szCs w:val="20"/>
        </w:rPr>
        <w:t>Th</w:t>
      </w:r>
      <w:r w:rsidR="00567572">
        <w:rPr>
          <w:rFonts w:eastAsia="Times New Roman" w:cs="LFJEOP+TimesNewRoman"/>
          <w:color w:val="000000"/>
          <w:sz w:val="20"/>
          <w:szCs w:val="20"/>
        </w:rPr>
        <w:t>ese</w:t>
      </w:r>
      <w:r>
        <w:rPr>
          <w:rFonts w:eastAsia="Times New Roman" w:cs="LFJEOP+TimesNewRoman"/>
          <w:color w:val="000000"/>
          <w:sz w:val="20"/>
          <w:szCs w:val="20"/>
        </w:rPr>
        <w:t xml:space="preserve"> procedure</w:t>
      </w:r>
      <w:r w:rsidR="00567572">
        <w:rPr>
          <w:rFonts w:eastAsia="Times New Roman" w:cs="LFJEOP+TimesNewRoman"/>
          <w:color w:val="000000"/>
          <w:sz w:val="20"/>
          <w:szCs w:val="20"/>
        </w:rPr>
        <w:t>s apply</w:t>
      </w:r>
      <w:r>
        <w:rPr>
          <w:rFonts w:eastAsia="Times New Roman" w:cs="LFJEOP+TimesNewRoman"/>
          <w:color w:val="000000"/>
          <w:sz w:val="20"/>
          <w:szCs w:val="20"/>
        </w:rPr>
        <w:t xml:space="preserve"> to eligible newly hired NMT regular full-time staff and regular faculty </w:t>
      </w:r>
      <w:r w:rsidR="00112BC0">
        <w:rPr>
          <w:rFonts w:eastAsia="Times New Roman" w:cs="LFJEOP+TimesNewRoman"/>
          <w:color w:val="000000"/>
          <w:sz w:val="20"/>
          <w:szCs w:val="20"/>
        </w:rPr>
        <w:t xml:space="preserve">members </w:t>
      </w:r>
      <w:r>
        <w:rPr>
          <w:rFonts w:eastAsia="Times New Roman" w:cs="LFJEOP+TimesNewRoman"/>
          <w:color w:val="000000"/>
          <w:sz w:val="20"/>
          <w:szCs w:val="20"/>
        </w:rPr>
        <w:t>(excluding temporary and emergency positions)</w:t>
      </w:r>
      <w:r w:rsidR="0037492D">
        <w:rPr>
          <w:rFonts w:eastAsia="Times New Roman" w:cs="LFJEOP+TimesNewRoman"/>
          <w:color w:val="000000"/>
          <w:sz w:val="20"/>
          <w:szCs w:val="20"/>
        </w:rPr>
        <w:t xml:space="preserve"> who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relocat</w:t>
      </w:r>
      <w:r>
        <w:rPr>
          <w:rFonts w:eastAsia="Times New Roman" w:cs="LFJEOP+TimesNewRoman"/>
          <w:color w:val="000000"/>
          <w:sz w:val="20"/>
          <w:szCs w:val="20"/>
        </w:rPr>
        <w:t>e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097A71">
        <w:rPr>
          <w:rFonts w:eastAsia="Times New Roman" w:cs="LFJEOP+TimesNewRoman"/>
          <w:color w:val="000000"/>
          <w:sz w:val="20"/>
          <w:szCs w:val="20"/>
        </w:rPr>
        <w:t xml:space="preserve">for their new NMT employment </w:t>
      </w:r>
      <w:r w:rsidRPr="003F6C09">
        <w:rPr>
          <w:rFonts w:eastAsia="Times New Roman" w:cs="LFJEOP+TimesNewRoman"/>
          <w:color w:val="000000"/>
          <w:sz w:val="20"/>
          <w:szCs w:val="20"/>
        </w:rPr>
        <w:t>at least fifty (50) miles from the</w:t>
      </w:r>
      <w:r w:rsidR="00097A71">
        <w:rPr>
          <w:rFonts w:eastAsia="Times New Roman" w:cs="LFJEOP+TimesNewRoman"/>
          <w:color w:val="000000"/>
          <w:sz w:val="20"/>
          <w:szCs w:val="20"/>
        </w:rPr>
        <w:t>ir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291AFD">
        <w:rPr>
          <w:rFonts w:eastAsia="Times New Roman" w:cs="LFJEOP+TimesNewRoman"/>
          <w:color w:val="000000"/>
          <w:sz w:val="20"/>
          <w:szCs w:val="20"/>
        </w:rPr>
        <w:t>prior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residence.</w:t>
      </w:r>
      <w:r>
        <w:rPr>
          <w:rFonts w:eastAsia="Times New Roman" w:cs="LFJEOP+TimesNewRoman"/>
          <w:color w:val="000000"/>
          <w:sz w:val="20"/>
          <w:szCs w:val="20"/>
        </w:rPr>
        <w:t xml:space="preserve"> </w:t>
      </w:r>
    </w:p>
    <w:p w:rsidR="005037EE" w:rsidRDefault="008D4847" w:rsidP="005D5200">
      <w:pPr>
        <w:keepLines w:val="0"/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  <w:r>
        <w:rPr>
          <w:rFonts w:eastAsia="Times New Roman" w:cs="LFJEOP+TimesNewRoman"/>
          <w:color w:val="000000"/>
          <w:sz w:val="20"/>
          <w:szCs w:val="20"/>
        </w:rPr>
        <w:t>To retain moving and relocation payments, an</w:t>
      </w:r>
      <w:r w:rsidR="003124A8">
        <w:rPr>
          <w:rFonts w:eastAsia="Times New Roman" w:cs="LFJEOP+TimesNewRoman"/>
          <w:color w:val="000000"/>
          <w:sz w:val="20"/>
          <w:szCs w:val="20"/>
        </w:rPr>
        <w:t>d unless otherwise specified in</w:t>
      </w:r>
      <w:r w:rsidR="00E56D26">
        <w:rPr>
          <w:rFonts w:eastAsia="Times New Roman" w:cs="LFJEOP+TimesNewRoman"/>
          <w:color w:val="000000"/>
          <w:sz w:val="20"/>
          <w:szCs w:val="20"/>
        </w:rPr>
        <w:t xml:space="preserve"> one’s</w:t>
      </w:r>
      <w:r w:rsidR="003124A8">
        <w:rPr>
          <w:rFonts w:eastAsia="Times New Roman" w:cs="LFJEOP+TimesNewRoman"/>
          <w:color w:val="000000"/>
          <w:sz w:val="20"/>
          <w:szCs w:val="20"/>
        </w:rPr>
        <w:t xml:space="preserve"> </w:t>
      </w:r>
      <w:r>
        <w:rPr>
          <w:rFonts w:eastAsia="Times New Roman" w:cs="LFJEOP+TimesNewRoman"/>
          <w:color w:val="000000"/>
          <w:sz w:val="20"/>
          <w:szCs w:val="20"/>
        </w:rPr>
        <w:t>written employment contract, a</w:t>
      </w:r>
      <w:r w:rsidR="002B2A57" w:rsidRPr="00114BAA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291AFD">
        <w:rPr>
          <w:rFonts w:eastAsia="Times New Roman" w:cs="LFJEOP+TimesNewRoman"/>
          <w:color w:val="000000"/>
          <w:sz w:val="20"/>
          <w:szCs w:val="20"/>
        </w:rPr>
        <w:t xml:space="preserve">new </w:t>
      </w:r>
      <w:r w:rsidR="002B2A57" w:rsidRPr="00114BAA">
        <w:rPr>
          <w:rFonts w:eastAsia="Times New Roman" w:cs="LFJEOP+TimesNewRoman"/>
          <w:color w:val="000000"/>
          <w:sz w:val="20"/>
          <w:szCs w:val="20"/>
        </w:rPr>
        <w:t xml:space="preserve">employee </w:t>
      </w:r>
      <w:r w:rsidR="002B2A57">
        <w:rPr>
          <w:rFonts w:eastAsia="Times New Roman" w:cs="LFJEOP+TimesNewRoman"/>
          <w:color w:val="000000"/>
          <w:sz w:val="20"/>
          <w:szCs w:val="20"/>
        </w:rPr>
        <w:t xml:space="preserve">must </w:t>
      </w:r>
      <w:r w:rsidR="00291AFD">
        <w:rPr>
          <w:rFonts w:eastAsia="Times New Roman" w:cs="LFJEOP+TimesNewRoman"/>
          <w:color w:val="000000"/>
          <w:sz w:val="20"/>
          <w:szCs w:val="20"/>
        </w:rPr>
        <w:t xml:space="preserve">satisfactorily </w:t>
      </w:r>
      <w:r w:rsidR="00031364">
        <w:rPr>
          <w:rFonts w:eastAsia="Times New Roman" w:cs="LFJEOP+TimesNewRoman"/>
          <w:color w:val="000000"/>
          <w:sz w:val="20"/>
          <w:szCs w:val="20"/>
        </w:rPr>
        <w:t xml:space="preserve">remain </w:t>
      </w:r>
      <w:r w:rsidR="00455CBD">
        <w:rPr>
          <w:rFonts w:eastAsia="Times New Roman" w:cs="LFJEOP+TimesNewRoman"/>
          <w:color w:val="000000"/>
          <w:sz w:val="20"/>
          <w:szCs w:val="20"/>
        </w:rPr>
        <w:t>employed</w:t>
      </w:r>
      <w:r w:rsidR="00291AFD">
        <w:rPr>
          <w:rFonts w:eastAsia="Times New Roman" w:cs="LFJEOP+TimesNewRoman"/>
          <w:color w:val="000000"/>
          <w:sz w:val="20"/>
          <w:szCs w:val="20"/>
        </w:rPr>
        <w:t xml:space="preserve"> at NMT for at least </w:t>
      </w:r>
      <w:r w:rsidR="00821C2B">
        <w:rPr>
          <w:rFonts w:eastAsia="Times New Roman" w:cs="LFJEOP+TimesNewRoman"/>
          <w:color w:val="000000"/>
          <w:sz w:val="20"/>
          <w:szCs w:val="20"/>
        </w:rPr>
        <w:t xml:space="preserve">first </w:t>
      </w:r>
      <w:r w:rsidR="002B2A57">
        <w:rPr>
          <w:rFonts w:eastAsia="Times New Roman" w:cs="LFJEOP+TimesNewRoman"/>
          <w:color w:val="000000"/>
          <w:sz w:val="20"/>
          <w:szCs w:val="20"/>
        </w:rPr>
        <w:t>twelve</w:t>
      </w:r>
      <w:r w:rsidR="002B2A57" w:rsidRPr="00114BAA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2B2A57">
        <w:rPr>
          <w:rFonts w:eastAsia="Times New Roman" w:cs="LFJEOP+TimesNewRoman"/>
          <w:color w:val="000000"/>
          <w:sz w:val="20"/>
          <w:szCs w:val="20"/>
        </w:rPr>
        <w:t>(</w:t>
      </w:r>
      <w:r w:rsidR="002B2A57" w:rsidRPr="00114BAA">
        <w:rPr>
          <w:rFonts w:eastAsia="Times New Roman" w:cs="LFJEOP+TimesNewRoman"/>
          <w:color w:val="000000"/>
          <w:sz w:val="20"/>
          <w:szCs w:val="20"/>
        </w:rPr>
        <w:t>12</w:t>
      </w:r>
      <w:r w:rsidR="002B2A57">
        <w:rPr>
          <w:rFonts w:eastAsia="Times New Roman" w:cs="LFJEOP+TimesNewRoman"/>
          <w:color w:val="000000"/>
          <w:sz w:val="20"/>
          <w:szCs w:val="20"/>
        </w:rPr>
        <w:t>)</w:t>
      </w:r>
      <w:r w:rsidR="00821C2B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2B2A57" w:rsidRPr="00114BAA">
        <w:rPr>
          <w:rFonts w:eastAsia="Times New Roman" w:cs="LFJEOP+TimesNewRoman"/>
          <w:color w:val="000000"/>
          <w:sz w:val="20"/>
          <w:szCs w:val="20"/>
        </w:rPr>
        <w:t>months</w:t>
      </w:r>
      <w:r w:rsidR="00291AFD">
        <w:rPr>
          <w:rFonts w:eastAsia="Times New Roman" w:cs="LFJEOP+TimesNewRoman"/>
          <w:color w:val="000000"/>
          <w:sz w:val="20"/>
          <w:szCs w:val="20"/>
        </w:rPr>
        <w:t xml:space="preserve"> from the</w:t>
      </w:r>
      <w:r w:rsidR="00180F74">
        <w:rPr>
          <w:rFonts w:eastAsia="Times New Roman" w:cs="LFJEOP+TimesNewRoman"/>
          <w:color w:val="000000"/>
          <w:sz w:val="20"/>
          <w:szCs w:val="20"/>
        </w:rPr>
        <w:t xml:space="preserve"> employment</w:t>
      </w:r>
      <w:r w:rsidR="00966961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E46A72">
        <w:rPr>
          <w:rFonts w:eastAsia="Times New Roman" w:cs="LFJEOP+TimesNewRoman"/>
          <w:color w:val="000000"/>
          <w:sz w:val="20"/>
          <w:szCs w:val="20"/>
        </w:rPr>
        <w:t>start</w:t>
      </w:r>
      <w:r w:rsidR="00966961">
        <w:rPr>
          <w:rFonts w:eastAsia="Times New Roman" w:cs="LFJEOP+TimesNewRoman"/>
          <w:color w:val="000000"/>
          <w:sz w:val="20"/>
          <w:szCs w:val="20"/>
        </w:rPr>
        <w:t xml:space="preserve"> date</w:t>
      </w:r>
      <w:r w:rsidR="00291AFD">
        <w:rPr>
          <w:rFonts w:eastAsia="Times New Roman" w:cs="LFJEOP+TimesNewRoman"/>
          <w:color w:val="000000"/>
          <w:sz w:val="20"/>
          <w:szCs w:val="20"/>
        </w:rPr>
        <w:t xml:space="preserve">, </w:t>
      </w:r>
      <w:r w:rsidR="00031364">
        <w:rPr>
          <w:rFonts w:eastAsia="Times New Roman" w:cs="LFJEOP+TimesNewRoman"/>
          <w:color w:val="000000"/>
          <w:sz w:val="20"/>
          <w:szCs w:val="20"/>
        </w:rPr>
        <w:t>i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f the employee does not </w:t>
      </w:r>
      <w:r w:rsidR="00222BCD">
        <w:rPr>
          <w:rFonts w:eastAsia="Times New Roman" w:cs="LFJEOP+TimesNewRoman"/>
          <w:color w:val="000000"/>
          <w:sz w:val="20"/>
          <w:szCs w:val="20"/>
        </w:rPr>
        <w:t>satisfy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 this </w:t>
      </w:r>
      <w:r w:rsidR="00222BCD">
        <w:rPr>
          <w:rFonts w:eastAsia="Times New Roman" w:cs="LFJEOP+TimesNewRoman"/>
          <w:color w:val="000000"/>
          <w:sz w:val="20"/>
          <w:szCs w:val="20"/>
        </w:rPr>
        <w:t>requirement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, the </w:t>
      </w:r>
      <w:r w:rsidR="00222BCD">
        <w:rPr>
          <w:rFonts w:eastAsia="Times New Roman" w:cs="LFJEOP+TimesNewRoman"/>
          <w:color w:val="000000"/>
          <w:sz w:val="20"/>
          <w:szCs w:val="20"/>
        </w:rPr>
        <w:t xml:space="preserve">new 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employee shall be liable to </w:t>
      </w:r>
      <w:r w:rsidR="00222BCD">
        <w:rPr>
          <w:rFonts w:eastAsia="Times New Roman" w:cs="LFJEOP+TimesNewRoman"/>
          <w:color w:val="000000"/>
          <w:sz w:val="20"/>
          <w:szCs w:val="20"/>
        </w:rPr>
        <w:t xml:space="preserve">refund to 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NMT all </w:t>
      </w:r>
      <w:r w:rsidR="00643743">
        <w:rPr>
          <w:rFonts w:eastAsia="Times New Roman" w:cs="LFJEOP+TimesNewRoman"/>
          <w:color w:val="000000"/>
          <w:sz w:val="20"/>
          <w:szCs w:val="20"/>
        </w:rPr>
        <w:t xml:space="preserve">moving </w:t>
      </w:r>
      <w:r w:rsidR="00222BCD">
        <w:rPr>
          <w:rFonts w:eastAsia="Times New Roman" w:cs="LFJEOP+TimesNewRoman"/>
          <w:color w:val="000000"/>
          <w:sz w:val="20"/>
          <w:szCs w:val="20"/>
        </w:rPr>
        <w:t>and</w:t>
      </w:r>
      <w:r w:rsidR="00643743">
        <w:rPr>
          <w:rFonts w:eastAsia="Times New Roman" w:cs="LFJEOP+TimesNewRoman"/>
          <w:color w:val="000000"/>
          <w:sz w:val="20"/>
          <w:szCs w:val="20"/>
        </w:rPr>
        <w:t xml:space="preserve"> relocation </w:t>
      </w:r>
      <w:r w:rsidR="007B7D62">
        <w:rPr>
          <w:rFonts w:eastAsia="Times New Roman" w:cs="LFJEOP+TimesNewRoman"/>
          <w:color w:val="000000"/>
          <w:sz w:val="20"/>
          <w:szCs w:val="20"/>
        </w:rPr>
        <w:t>payments</w:t>
      </w:r>
      <w:r w:rsidR="00D4132E">
        <w:rPr>
          <w:rFonts w:eastAsia="Times New Roman" w:cs="LFJEOP+TimesNewRoman"/>
          <w:color w:val="000000"/>
          <w:sz w:val="20"/>
          <w:szCs w:val="20"/>
        </w:rPr>
        <w:t xml:space="preserve"> received from NMT</w:t>
      </w:r>
      <w:r w:rsidR="00222BCD">
        <w:rPr>
          <w:rFonts w:eastAsia="Times New Roman" w:cs="LFJEOP+TimesNewRoman"/>
          <w:color w:val="000000"/>
          <w:sz w:val="20"/>
          <w:szCs w:val="20"/>
        </w:rPr>
        <w:t xml:space="preserve"> under these Procedures</w:t>
      </w:r>
      <w:r w:rsidR="00643743">
        <w:rPr>
          <w:rFonts w:eastAsia="Times New Roman" w:cs="LFJEOP+TimesNewRoman"/>
          <w:color w:val="000000"/>
          <w:sz w:val="20"/>
          <w:szCs w:val="20"/>
        </w:rPr>
        <w:t>.</w:t>
      </w:r>
      <w:r w:rsidR="007532D5">
        <w:rPr>
          <w:rFonts w:eastAsia="Times New Roman" w:cs="LFJEOP+TimesNewRoman"/>
          <w:color w:val="000000"/>
          <w:sz w:val="20"/>
          <w:szCs w:val="20"/>
        </w:rPr>
        <w:t xml:space="preserve"> These procedures also apply to faculty members </w:t>
      </w:r>
      <w:r w:rsidR="00C8534E" w:rsidRPr="00C8534E">
        <w:rPr>
          <w:rFonts w:eastAsia="Times New Roman" w:cs="LFJEOP+TimesNewRoman"/>
          <w:color w:val="000000"/>
          <w:sz w:val="20"/>
          <w:szCs w:val="20"/>
        </w:rPr>
        <w:t>hired into positions that are less than 1.0FTE but not less than 0.5FTE</w:t>
      </w:r>
      <w:r w:rsidR="00C8534E">
        <w:rPr>
          <w:rFonts w:eastAsia="Times New Roman" w:cs="LFJEOP+TimesNewRoman"/>
          <w:color w:val="000000"/>
          <w:sz w:val="20"/>
          <w:szCs w:val="20"/>
        </w:rPr>
        <w:t>.</w:t>
      </w:r>
    </w:p>
    <w:p w:rsidR="00541CA2" w:rsidRPr="003F18CA" w:rsidRDefault="005C4025" w:rsidP="003F18CA">
      <w:pPr>
        <w:pStyle w:val="Heading2"/>
        <w:ind w:left="360" w:hanging="360"/>
        <w:rPr>
          <w:bCs w:val="0"/>
          <w:iCs w:val="0"/>
        </w:rPr>
      </w:pPr>
      <w:bookmarkStart w:id="7" w:name="_Toc104759787"/>
      <w:r>
        <w:rPr>
          <w:bCs w:val="0"/>
          <w:iCs w:val="0"/>
        </w:rPr>
        <w:t>C</w:t>
      </w:r>
      <w:r w:rsidR="004B690D" w:rsidRPr="009F2FBC">
        <w:rPr>
          <w:bCs w:val="0"/>
          <w:iCs w:val="0"/>
        </w:rPr>
        <w:t xml:space="preserve">. </w:t>
      </w:r>
      <w:r w:rsidR="00D23D92">
        <w:rPr>
          <w:bCs w:val="0"/>
          <w:iCs w:val="0"/>
        </w:rPr>
        <w:t xml:space="preserve">Approval and </w:t>
      </w:r>
      <w:r w:rsidR="0021402A">
        <w:rPr>
          <w:bCs w:val="0"/>
          <w:iCs w:val="0"/>
        </w:rPr>
        <w:t>Request</w:t>
      </w:r>
      <w:r w:rsidR="00D23D92">
        <w:rPr>
          <w:bCs w:val="0"/>
          <w:iCs w:val="0"/>
        </w:rPr>
        <w:t xml:space="preserve"> for Payment Process</w:t>
      </w:r>
      <w:bookmarkEnd w:id="7"/>
    </w:p>
    <w:p w:rsidR="005037EE" w:rsidRPr="00AC125D" w:rsidRDefault="00173DFA" w:rsidP="00CE44A1">
      <w:pPr>
        <w:spacing w:before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A30E7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hiring department </w:t>
      </w:r>
      <w:r w:rsidR="00541CA2" w:rsidRPr="00FC4982">
        <w:rPr>
          <w:bCs/>
          <w:iCs/>
          <w:sz w:val="20"/>
          <w:szCs w:val="20"/>
        </w:rPr>
        <w:t xml:space="preserve">is responsible for securing all approvals and signatures in advance of </w:t>
      </w:r>
      <w:r w:rsidR="00541CA2">
        <w:rPr>
          <w:bCs/>
          <w:iCs/>
          <w:sz w:val="20"/>
          <w:szCs w:val="20"/>
        </w:rPr>
        <w:t xml:space="preserve">any </w:t>
      </w:r>
      <w:r w:rsidRPr="005D41DB">
        <w:rPr>
          <w:sz w:val="20"/>
          <w:szCs w:val="20"/>
        </w:rPr>
        <w:t xml:space="preserve">commitment to pay moving </w:t>
      </w:r>
      <w:r w:rsidR="007B7D62">
        <w:rPr>
          <w:sz w:val="20"/>
          <w:szCs w:val="20"/>
        </w:rPr>
        <w:t xml:space="preserve">and relocation </w:t>
      </w:r>
      <w:r w:rsidRPr="005D41DB">
        <w:rPr>
          <w:sz w:val="20"/>
          <w:szCs w:val="20"/>
        </w:rPr>
        <w:t>expenses</w:t>
      </w:r>
      <w:r w:rsidR="0094017F">
        <w:rPr>
          <w:sz w:val="20"/>
          <w:szCs w:val="20"/>
        </w:rPr>
        <w:t>. All such commitments</w:t>
      </w:r>
      <w:r w:rsidRPr="005D41DB">
        <w:rPr>
          <w:sz w:val="20"/>
          <w:szCs w:val="20"/>
        </w:rPr>
        <w:t xml:space="preserve"> must be approved</w:t>
      </w:r>
      <w:r w:rsidR="00293F92">
        <w:rPr>
          <w:sz w:val="20"/>
          <w:szCs w:val="20"/>
        </w:rPr>
        <w:t xml:space="preserve"> by </w:t>
      </w:r>
      <w:r w:rsidR="008E2790">
        <w:rPr>
          <w:sz w:val="20"/>
          <w:szCs w:val="20"/>
        </w:rPr>
        <w:t>the</w:t>
      </w:r>
      <w:r w:rsidR="0011260C">
        <w:rPr>
          <w:sz w:val="20"/>
          <w:szCs w:val="20"/>
        </w:rPr>
        <w:t xml:space="preserve"> appropriate</w:t>
      </w:r>
      <w:r w:rsidR="009B30E5">
        <w:rPr>
          <w:sz w:val="20"/>
          <w:szCs w:val="20"/>
        </w:rPr>
        <w:t xml:space="preserve"> </w:t>
      </w:r>
      <w:r w:rsidR="00771F7D">
        <w:rPr>
          <w:sz w:val="20"/>
          <w:szCs w:val="20"/>
        </w:rPr>
        <w:t>division head (</w:t>
      </w:r>
      <w:r w:rsidR="000915D1">
        <w:rPr>
          <w:sz w:val="20"/>
          <w:szCs w:val="20"/>
        </w:rPr>
        <w:t>President</w:t>
      </w:r>
      <w:r w:rsidR="003B6AF9">
        <w:rPr>
          <w:sz w:val="20"/>
          <w:szCs w:val="20"/>
        </w:rPr>
        <w:t xml:space="preserve"> or Vice President</w:t>
      </w:r>
      <w:r w:rsidR="00E04728">
        <w:rPr>
          <w:sz w:val="20"/>
          <w:szCs w:val="20"/>
        </w:rPr>
        <w:t>)</w:t>
      </w:r>
      <w:r w:rsidR="000915D1">
        <w:rPr>
          <w:sz w:val="20"/>
          <w:szCs w:val="20"/>
        </w:rPr>
        <w:t>, as applicable.</w:t>
      </w:r>
    </w:p>
    <w:p w:rsidR="00A4481F" w:rsidRDefault="005C4025" w:rsidP="004B690D">
      <w:pPr>
        <w:pStyle w:val="Heading2"/>
        <w:ind w:left="360" w:hanging="360"/>
        <w:rPr>
          <w:bCs w:val="0"/>
          <w:iCs w:val="0"/>
        </w:rPr>
      </w:pPr>
      <w:bookmarkStart w:id="8" w:name="_Toc104759788"/>
      <w:r>
        <w:rPr>
          <w:bCs w:val="0"/>
          <w:iCs w:val="0"/>
        </w:rPr>
        <w:t>D</w:t>
      </w:r>
      <w:r w:rsidR="00D23D92">
        <w:rPr>
          <w:bCs w:val="0"/>
          <w:iCs w:val="0"/>
        </w:rPr>
        <w:t xml:space="preserve">. </w:t>
      </w:r>
      <w:r w:rsidR="00A4481F">
        <w:rPr>
          <w:bCs w:val="0"/>
          <w:iCs w:val="0"/>
        </w:rPr>
        <w:t>Payment Methods</w:t>
      </w:r>
      <w:bookmarkEnd w:id="8"/>
    </w:p>
    <w:p w:rsidR="00264D17" w:rsidRDefault="00264D17" w:rsidP="00A85546">
      <w:pPr>
        <w:spacing w:before="200"/>
        <w:jc w:val="both"/>
        <w:rPr>
          <w:rFonts w:eastAsia="Times New Roman" w:cs="LFJEOP+TimesNewRoman"/>
          <w:sz w:val="20"/>
          <w:szCs w:val="20"/>
        </w:rPr>
      </w:pPr>
      <w:r>
        <w:rPr>
          <w:rFonts w:eastAsia="Times New Roman" w:cs="LFJEOP+TimesNewRoman"/>
          <w:sz w:val="20"/>
          <w:szCs w:val="20"/>
        </w:rPr>
        <w:t>The Moving Advanc</w:t>
      </w:r>
      <w:r w:rsidR="00C055D3">
        <w:rPr>
          <w:rFonts w:eastAsia="Times New Roman" w:cs="LFJEOP+TimesNewRoman"/>
          <w:sz w:val="20"/>
          <w:szCs w:val="20"/>
        </w:rPr>
        <w:t xml:space="preserve">e Payment/Reimbursement form </w:t>
      </w:r>
      <w:r w:rsidR="005E01AF">
        <w:rPr>
          <w:rFonts w:eastAsia="Times New Roman" w:cs="LFJEOP+TimesNewRoman"/>
          <w:sz w:val="20"/>
          <w:szCs w:val="20"/>
        </w:rPr>
        <w:t xml:space="preserve">is required to </w:t>
      </w:r>
      <w:r w:rsidR="002A4EBC">
        <w:rPr>
          <w:rFonts w:eastAsia="Times New Roman" w:cs="LFJEOP+TimesNewRoman"/>
          <w:sz w:val="20"/>
          <w:szCs w:val="20"/>
        </w:rPr>
        <w:t>apply</w:t>
      </w:r>
      <w:r w:rsidR="00C055D3">
        <w:rPr>
          <w:rFonts w:eastAsia="Times New Roman" w:cs="LFJEOP+TimesNewRoman"/>
          <w:sz w:val="20"/>
          <w:szCs w:val="20"/>
        </w:rPr>
        <w:t xml:space="preserve"> for </w:t>
      </w:r>
      <w:r w:rsidR="005E01AF">
        <w:rPr>
          <w:rFonts w:eastAsia="Times New Roman" w:cs="LFJEOP+TimesNewRoman"/>
          <w:sz w:val="20"/>
          <w:szCs w:val="20"/>
        </w:rPr>
        <w:t>mov</w:t>
      </w:r>
      <w:r w:rsidR="00C055D3">
        <w:rPr>
          <w:rFonts w:eastAsia="Times New Roman" w:cs="LFJEOP+TimesNewRoman"/>
          <w:sz w:val="20"/>
          <w:szCs w:val="20"/>
        </w:rPr>
        <w:t xml:space="preserve">ing </w:t>
      </w:r>
      <w:r w:rsidR="007B7D62">
        <w:rPr>
          <w:rFonts w:eastAsia="Times New Roman" w:cs="LFJEOP+TimesNewRoman"/>
          <w:sz w:val="20"/>
          <w:szCs w:val="20"/>
        </w:rPr>
        <w:t xml:space="preserve">and relocation </w:t>
      </w:r>
      <w:r w:rsidR="00C055D3">
        <w:rPr>
          <w:rFonts w:eastAsia="Times New Roman" w:cs="LFJEOP+TimesNewRoman"/>
          <w:sz w:val="20"/>
          <w:szCs w:val="20"/>
        </w:rPr>
        <w:t xml:space="preserve">related payments. This form is </w:t>
      </w:r>
      <w:r>
        <w:rPr>
          <w:rFonts w:eastAsia="Times New Roman" w:cs="LFJEOP+TimesNewRoman"/>
          <w:sz w:val="20"/>
          <w:szCs w:val="20"/>
        </w:rPr>
        <w:t>located on the following websites:</w:t>
      </w:r>
    </w:p>
    <w:p w:rsidR="00264D17" w:rsidRPr="004577C8" w:rsidRDefault="00264D17" w:rsidP="00264D17">
      <w:pPr>
        <w:pStyle w:val="ListParagraph"/>
        <w:keepLines w:val="0"/>
        <w:numPr>
          <w:ilvl w:val="0"/>
          <w:numId w:val="33"/>
        </w:numPr>
        <w:autoSpaceDE w:val="0"/>
        <w:autoSpaceDN w:val="0"/>
        <w:adjustRightInd w:val="0"/>
        <w:spacing w:before="200" w:after="0"/>
        <w:ind w:left="720"/>
        <w:jc w:val="both"/>
        <w:rPr>
          <w:rStyle w:val="Hyperlink"/>
          <w:sz w:val="20"/>
          <w:szCs w:val="20"/>
        </w:rPr>
      </w:pPr>
      <w:r w:rsidRPr="004577C8">
        <w:rPr>
          <w:rFonts w:eastAsia="Times New Roman" w:cs="LFJEOP+TimesNewRoman"/>
          <w:sz w:val="20"/>
          <w:szCs w:val="20"/>
        </w:rPr>
        <w:t xml:space="preserve">Accounts Payable - </w:t>
      </w:r>
      <w:hyperlink r:id="rId9" w:history="1">
        <w:r w:rsidRPr="004577C8">
          <w:rPr>
            <w:rStyle w:val="Hyperlink"/>
            <w:sz w:val="20"/>
            <w:szCs w:val="20"/>
          </w:rPr>
          <w:t>https://www.nmt.edu/finance/accounts-payable.php</w:t>
        </w:r>
      </w:hyperlink>
    </w:p>
    <w:p w:rsidR="00264D17" w:rsidRDefault="00264D17" w:rsidP="00264D17">
      <w:pPr>
        <w:pStyle w:val="ListParagraph"/>
        <w:numPr>
          <w:ilvl w:val="0"/>
          <w:numId w:val="33"/>
        </w:numPr>
        <w:ind w:left="720"/>
        <w:jc w:val="both"/>
        <w:rPr>
          <w:rStyle w:val="Hyperlink"/>
          <w:sz w:val="20"/>
        </w:rPr>
      </w:pPr>
      <w:r w:rsidRPr="004577C8">
        <w:rPr>
          <w:rFonts w:eastAsia="Times New Roman" w:cs="LFJEOP+TimesNewRoman"/>
          <w:sz w:val="20"/>
          <w:szCs w:val="20"/>
        </w:rPr>
        <w:t xml:space="preserve">Payroll Office - </w:t>
      </w:r>
      <w:hyperlink r:id="rId10" w:history="1">
        <w:r w:rsidRPr="004577C8">
          <w:rPr>
            <w:rStyle w:val="Hyperlink"/>
            <w:sz w:val="20"/>
          </w:rPr>
          <w:t>https://www.nmt.edu/finance/payroll.php</w:t>
        </w:r>
      </w:hyperlink>
    </w:p>
    <w:p w:rsidR="00264D17" w:rsidRPr="00A85546" w:rsidRDefault="00264D17" w:rsidP="00264D17">
      <w:pPr>
        <w:pStyle w:val="ListParagraph"/>
        <w:numPr>
          <w:ilvl w:val="0"/>
          <w:numId w:val="33"/>
        </w:numPr>
        <w:ind w:left="720"/>
        <w:jc w:val="both"/>
        <w:rPr>
          <w:color w:val="0000FF"/>
          <w:u w:val="single"/>
        </w:rPr>
      </w:pPr>
      <w:r w:rsidRPr="004577C8">
        <w:rPr>
          <w:rFonts w:eastAsia="Times New Roman" w:cs="LFJEOP+TimesNewRoman"/>
          <w:sz w:val="20"/>
          <w:szCs w:val="20"/>
        </w:rPr>
        <w:t xml:space="preserve">Travel Office - </w:t>
      </w:r>
      <w:hyperlink r:id="rId11" w:history="1">
        <w:r w:rsidRPr="004577C8">
          <w:rPr>
            <w:rStyle w:val="Hyperlink"/>
            <w:sz w:val="20"/>
            <w:szCs w:val="20"/>
          </w:rPr>
          <w:t>https://www.nmt.edu/finance/travel.php</w:t>
        </w:r>
      </w:hyperlink>
    </w:p>
    <w:p w:rsidR="00290325" w:rsidRPr="00290325" w:rsidRDefault="00290325" w:rsidP="00290325">
      <w:pPr>
        <w:pStyle w:val="Heading2"/>
        <w:ind w:left="360" w:hanging="360"/>
        <w:rPr>
          <w:rFonts w:ascii="Palatino Linotype" w:hAnsi="Palatino Linotype"/>
          <w:b w:val="0"/>
          <w:bCs w:val="0"/>
          <w:iCs w:val="0"/>
          <w:color w:val="auto"/>
          <w:sz w:val="20"/>
          <w:szCs w:val="20"/>
        </w:rPr>
      </w:pPr>
      <w:bookmarkStart w:id="9" w:name="_Toc104759789"/>
      <w:r>
        <w:rPr>
          <w:rFonts w:ascii="Palatino Linotype" w:hAnsi="Palatino Linotype"/>
          <w:b w:val="0"/>
          <w:bCs w:val="0"/>
          <w:iCs w:val="0"/>
          <w:color w:val="auto"/>
          <w:sz w:val="20"/>
          <w:szCs w:val="20"/>
        </w:rPr>
        <w:lastRenderedPageBreak/>
        <w:t xml:space="preserve">Moving </w:t>
      </w:r>
      <w:r w:rsidR="007B7D62">
        <w:rPr>
          <w:rFonts w:ascii="Palatino Linotype" w:hAnsi="Palatino Linotype"/>
          <w:b w:val="0"/>
          <w:bCs w:val="0"/>
          <w:iCs w:val="0"/>
          <w:color w:val="auto"/>
          <w:sz w:val="20"/>
          <w:szCs w:val="20"/>
        </w:rPr>
        <w:t xml:space="preserve">and relocation </w:t>
      </w:r>
      <w:r>
        <w:rPr>
          <w:rFonts w:ascii="Palatino Linotype" w:hAnsi="Palatino Linotype"/>
          <w:b w:val="0"/>
          <w:bCs w:val="0"/>
          <w:iCs w:val="0"/>
          <w:color w:val="auto"/>
          <w:sz w:val="20"/>
          <w:szCs w:val="20"/>
        </w:rPr>
        <w:t>payment methods include:</w:t>
      </w:r>
      <w:bookmarkEnd w:id="9"/>
    </w:p>
    <w:p w:rsidR="00242DDA" w:rsidRPr="00C8302C" w:rsidRDefault="00242DDA" w:rsidP="00290325">
      <w:pPr>
        <w:pStyle w:val="Heading2"/>
        <w:ind w:left="720" w:hanging="360"/>
        <w:rPr>
          <w:rFonts w:ascii="Palatino Linotype" w:hAnsi="Palatino Linotype"/>
          <w:bCs w:val="0"/>
          <w:iCs w:val="0"/>
          <w:color w:val="auto"/>
          <w:sz w:val="20"/>
          <w:szCs w:val="20"/>
        </w:rPr>
      </w:pPr>
      <w:bookmarkStart w:id="10" w:name="_Toc104759790"/>
      <w:r w:rsidRPr="00C8302C">
        <w:rPr>
          <w:rFonts w:ascii="Palatino Linotype" w:hAnsi="Palatino Linotype"/>
          <w:bCs w:val="0"/>
          <w:iCs w:val="0"/>
          <w:color w:val="auto"/>
          <w:sz w:val="20"/>
          <w:szCs w:val="20"/>
        </w:rPr>
        <w:t xml:space="preserve">1. </w:t>
      </w:r>
      <w:r w:rsidR="007C1FE8" w:rsidRPr="00C8302C">
        <w:rPr>
          <w:rFonts w:ascii="Palatino Linotype" w:hAnsi="Palatino Linotype"/>
          <w:bCs w:val="0"/>
          <w:iCs w:val="0"/>
          <w:color w:val="auto"/>
          <w:sz w:val="20"/>
          <w:szCs w:val="20"/>
        </w:rPr>
        <w:t>Flat Allowance</w:t>
      </w:r>
      <w:r w:rsidR="00AC125D">
        <w:rPr>
          <w:rFonts w:ascii="Palatino Linotype" w:hAnsi="Palatino Linotype"/>
          <w:bCs w:val="0"/>
          <w:iCs w:val="0"/>
          <w:color w:val="auto"/>
          <w:sz w:val="20"/>
          <w:szCs w:val="20"/>
        </w:rPr>
        <w:t xml:space="preserve"> </w:t>
      </w:r>
      <w:r w:rsidR="00E67158">
        <w:rPr>
          <w:rFonts w:ascii="Palatino Linotype" w:hAnsi="Palatino Linotype"/>
          <w:bCs w:val="0"/>
          <w:iCs w:val="0"/>
          <w:color w:val="auto"/>
          <w:sz w:val="20"/>
          <w:szCs w:val="20"/>
        </w:rPr>
        <w:t xml:space="preserve">or </w:t>
      </w:r>
      <w:r w:rsidR="00AC125D">
        <w:rPr>
          <w:rFonts w:ascii="Palatino Linotype" w:hAnsi="Palatino Linotype"/>
          <w:bCs w:val="0"/>
          <w:iCs w:val="0"/>
          <w:color w:val="auto"/>
          <w:sz w:val="20"/>
          <w:szCs w:val="20"/>
        </w:rPr>
        <w:t>Advance Payment</w:t>
      </w:r>
      <w:bookmarkEnd w:id="10"/>
    </w:p>
    <w:p w:rsidR="00C72650" w:rsidRPr="00C72650" w:rsidRDefault="00293D78" w:rsidP="00290325">
      <w:pPr>
        <w:ind w:left="360"/>
        <w:jc w:val="both"/>
        <w:rPr>
          <w:rFonts w:eastAsia="Times New Roman" w:cs="LFJEOP+TimesNewRoman"/>
          <w:sz w:val="20"/>
          <w:szCs w:val="20"/>
        </w:rPr>
      </w:pPr>
      <w:r w:rsidRPr="00293D78">
        <w:rPr>
          <w:sz w:val="20"/>
          <w:szCs w:val="20"/>
        </w:rPr>
        <w:t>When</w:t>
      </w:r>
      <w:r>
        <w:rPr>
          <w:sz w:val="20"/>
          <w:szCs w:val="20"/>
        </w:rPr>
        <w:t xml:space="preserve"> the </w:t>
      </w:r>
      <w:r w:rsidR="00A310A1">
        <w:rPr>
          <w:sz w:val="20"/>
          <w:szCs w:val="20"/>
        </w:rPr>
        <w:t xml:space="preserve">applicable hiring </w:t>
      </w:r>
      <w:r>
        <w:rPr>
          <w:sz w:val="20"/>
          <w:szCs w:val="20"/>
        </w:rPr>
        <w:t xml:space="preserve">department </w:t>
      </w:r>
      <w:r w:rsidR="0077465C">
        <w:rPr>
          <w:sz w:val="20"/>
          <w:szCs w:val="20"/>
        </w:rPr>
        <w:t>decides</w:t>
      </w:r>
      <w:r>
        <w:rPr>
          <w:sz w:val="20"/>
          <w:szCs w:val="20"/>
        </w:rPr>
        <w:t xml:space="preserve"> to pay the </w:t>
      </w:r>
      <w:r w:rsidR="00A310A1">
        <w:rPr>
          <w:sz w:val="20"/>
          <w:szCs w:val="20"/>
        </w:rPr>
        <w:t xml:space="preserve">new </w:t>
      </w:r>
      <w:r>
        <w:rPr>
          <w:sz w:val="20"/>
          <w:szCs w:val="20"/>
        </w:rPr>
        <w:t xml:space="preserve">employee an agreed upon flat amount </w:t>
      </w:r>
      <w:r w:rsidR="00652594">
        <w:rPr>
          <w:sz w:val="20"/>
          <w:szCs w:val="20"/>
        </w:rPr>
        <w:t xml:space="preserve">(a </w:t>
      </w:r>
      <w:r w:rsidR="00222FE4">
        <w:rPr>
          <w:sz w:val="20"/>
          <w:szCs w:val="20"/>
        </w:rPr>
        <w:t>reasonable fixed amount</w:t>
      </w:r>
      <w:r w:rsidR="00652594">
        <w:rPr>
          <w:sz w:val="20"/>
          <w:szCs w:val="20"/>
        </w:rPr>
        <w:t>; no receipts required</w:t>
      </w:r>
      <w:r w:rsidR="00222FE4">
        <w:rPr>
          <w:sz w:val="20"/>
          <w:szCs w:val="20"/>
        </w:rPr>
        <w:t xml:space="preserve">) </w:t>
      </w:r>
      <w:r w:rsidR="00AC125D">
        <w:rPr>
          <w:sz w:val="20"/>
          <w:szCs w:val="20"/>
        </w:rPr>
        <w:t xml:space="preserve">and </w:t>
      </w:r>
      <w:r w:rsidR="00AC125D" w:rsidRPr="00AC125D">
        <w:rPr>
          <w:sz w:val="20"/>
          <w:szCs w:val="20"/>
        </w:rPr>
        <w:t>the</w:t>
      </w:r>
      <w:r w:rsidR="00A310A1">
        <w:rPr>
          <w:sz w:val="20"/>
          <w:szCs w:val="20"/>
        </w:rPr>
        <w:t xml:space="preserve"> new employee</w:t>
      </w:r>
      <w:r w:rsidR="00AC125D" w:rsidRPr="00AC125D">
        <w:rPr>
          <w:sz w:val="20"/>
          <w:szCs w:val="20"/>
        </w:rPr>
        <w:t xml:space="preserve"> elects to receive</w:t>
      </w:r>
      <w:r w:rsidR="00A310A1">
        <w:rPr>
          <w:sz w:val="20"/>
          <w:szCs w:val="20"/>
        </w:rPr>
        <w:t xml:space="preserve"> such a</w:t>
      </w:r>
      <w:r w:rsidR="00AC125D" w:rsidRPr="00AC125D">
        <w:rPr>
          <w:sz w:val="20"/>
          <w:szCs w:val="20"/>
        </w:rPr>
        <w:t xml:space="preserve"> payment prior to the employment start date, this </w:t>
      </w:r>
      <w:r>
        <w:rPr>
          <w:sz w:val="20"/>
          <w:szCs w:val="20"/>
        </w:rPr>
        <w:t xml:space="preserve">allowance </w:t>
      </w:r>
      <w:r w:rsidR="00BF3644">
        <w:rPr>
          <w:sz w:val="20"/>
          <w:szCs w:val="20"/>
        </w:rPr>
        <w:t xml:space="preserve">or advance </w:t>
      </w:r>
      <w:r>
        <w:rPr>
          <w:sz w:val="20"/>
          <w:szCs w:val="20"/>
        </w:rPr>
        <w:t xml:space="preserve">payment will be processed through </w:t>
      </w:r>
      <w:r w:rsidR="0024289E">
        <w:rPr>
          <w:sz w:val="20"/>
          <w:szCs w:val="20"/>
        </w:rPr>
        <w:t xml:space="preserve">the </w:t>
      </w:r>
      <w:r w:rsidRPr="00AB3025">
        <w:rPr>
          <w:b/>
          <w:sz w:val="20"/>
          <w:szCs w:val="20"/>
        </w:rPr>
        <w:t>Accounts Payable</w:t>
      </w:r>
      <w:r w:rsidR="00AB3025">
        <w:rPr>
          <w:b/>
          <w:sz w:val="20"/>
          <w:szCs w:val="20"/>
        </w:rPr>
        <w:t xml:space="preserve"> Office</w:t>
      </w:r>
      <w:r>
        <w:rPr>
          <w:sz w:val="20"/>
          <w:szCs w:val="20"/>
        </w:rPr>
        <w:t xml:space="preserve"> </w:t>
      </w:r>
      <w:r w:rsidR="005470E9">
        <w:rPr>
          <w:sz w:val="20"/>
          <w:szCs w:val="20"/>
        </w:rPr>
        <w:t xml:space="preserve">using </w:t>
      </w:r>
      <w:r w:rsidR="005470E9">
        <w:rPr>
          <w:rFonts w:eastAsia="Times New Roman" w:cs="LFJEOP+TimesNewRoman"/>
          <w:sz w:val="20"/>
          <w:szCs w:val="20"/>
        </w:rPr>
        <w:t xml:space="preserve">a </w:t>
      </w:r>
      <w:r w:rsidR="00AC125D">
        <w:rPr>
          <w:rFonts w:eastAsia="Times New Roman" w:cs="LFJEOP+TimesNewRoman"/>
          <w:sz w:val="20"/>
          <w:szCs w:val="20"/>
        </w:rPr>
        <w:t>Moving Advance Payment/Reimbursement Form</w:t>
      </w:r>
      <w:r w:rsidR="004577C8">
        <w:rPr>
          <w:rFonts w:eastAsia="Times New Roman" w:cs="LFJEOP+TimesNewRoman"/>
          <w:sz w:val="20"/>
          <w:szCs w:val="20"/>
        </w:rPr>
        <w:t xml:space="preserve">. </w:t>
      </w:r>
      <w:r w:rsidR="007F412A">
        <w:rPr>
          <w:rFonts w:eastAsia="Times New Roman" w:cs="LFJEOP+TimesNewRoman"/>
          <w:sz w:val="20"/>
          <w:szCs w:val="20"/>
        </w:rPr>
        <w:t xml:space="preserve">A copy of the offer letter stating the amount of the moving </w:t>
      </w:r>
      <w:r w:rsidR="00351D32">
        <w:rPr>
          <w:rFonts w:eastAsia="Times New Roman" w:cs="LFJEOP+TimesNewRoman"/>
          <w:sz w:val="20"/>
          <w:szCs w:val="20"/>
        </w:rPr>
        <w:t xml:space="preserve">and relocation </w:t>
      </w:r>
      <w:r w:rsidR="007F412A">
        <w:rPr>
          <w:rFonts w:eastAsia="Times New Roman" w:cs="LFJEOP+TimesNewRoman"/>
          <w:sz w:val="20"/>
          <w:szCs w:val="20"/>
        </w:rPr>
        <w:t xml:space="preserve">allowance </w:t>
      </w:r>
      <w:r w:rsidR="000D0B72">
        <w:rPr>
          <w:rFonts w:eastAsia="Times New Roman" w:cs="LFJEOP+TimesNewRoman"/>
          <w:sz w:val="20"/>
          <w:szCs w:val="20"/>
        </w:rPr>
        <w:t xml:space="preserve">and evidence that the offer has been accepted </w:t>
      </w:r>
      <w:r w:rsidR="007F412A">
        <w:rPr>
          <w:rFonts w:eastAsia="Times New Roman" w:cs="LFJEOP+TimesNewRoman"/>
          <w:sz w:val="20"/>
          <w:szCs w:val="20"/>
        </w:rPr>
        <w:t xml:space="preserve">must be submitted </w:t>
      </w:r>
      <w:r w:rsidR="00BF3644">
        <w:rPr>
          <w:rFonts w:eastAsia="Times New Roman" w:cs="LFJEOP+TimesNewRoman"/>
          <w:sz w:val="20"/>
          <w:szCs w:val="20"/>
        </w:rPr>
        <w:t xml:space="preserve">to the Accounts Payable Office </w:t>
      </w:r>
      <w:r w:rsidR="007F412A">
        <w:rPr>
          <w:rFonts w:eastAsia="Times New Roman" w:cs="LFJEOP+TimesNewRoman"/>
          <w:sz w:val="20"/>
          <w:szCs w:val="20"/>
        </w:rPr>
        <w:t xml:space="preserve">as </w:t>
      </w:r>
      <w:r w:rsidR="00AD0EF2">
        <w:rPr>
          <w:rFonts w:eastAsia="Times New Roman" w:cs="LFJEOP+TimesNewRoman"/>
          <w:sz w:val="20"/>
          <w:szCs w:val="20"/>
        </w:rPr>
        <w:t xml:space="preserve">supporting </w:t>
      </w:r>
      <w:r w:rsidR="007F412A">
        <w:rPr>
          <w:rFonts w:eastAsia="Times New Roman" w:cs="LFJEOP+TimesNewRoman"/>
          <w:sz w:val="20"/>
          <w:szCs w:val="20"/>
        </w:rPr>
        <w:t>documentation.</w:t>
      </w:r>
    </w:p>
    <w:p w:rsidR="00B22EDA" w:rsidRPr="00293D78" w:rsidRDefault="00C72650" w:rsidP="0029032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taxes will be withheld at the time of the payment, but all applicable </w:t>
      </w:r>
      <w:r w:rsidR="00AD7E28">
        <w:rPr>
          <w:sz w:val="20"/>
          <w:szCs w:val="20"/>
        </w:rPr>
        <w:t xml:space="preserve">income </w:t>
      </w:r>
      <w:r>
        <w:rPr>
          <w:sz w:val="20"/>
          <w:szCs w:val="20"/>
        </w:rPr>
        <w:t>taxes will be withheld from the employee’s payroll when</w:t>
      </w:r>
      <w:r w:rsidR="00973D3C">
        <w:rPr>
          <w:sz w:val="20"/>
          <w:szCs w:val="20"/>
        </w:rPr>
        <w:t xml:space="preserve"> one’s</w:t>
      </w:r>
      <w:r w:rsidR="00AD7E28">
        <w:rPr>
          <w:sz w:val="20"/>
          <w:szCs w:val="20"/>
        </w:rPr>
        <w:t xml:space="preserve"> employment starts. Hiring departments must advise the new employee that income</w:t>
      </w:r>
      <w:r>
        <w:rPr>
          <w:sz w:val="20"/>
          <w:szCs w:val="20"/>
        </w:rPr>
        <w:t xml:space="preserve"> taxes related to the moving </w:t>
      </w:r>
      <w:r w:rsidR="009F5896">
        <w:rPr>
          <w:sz w:val="20"/>
          <w:szCs w:val="20"/>
        </w:rPr>
        <w:t xml:space="preserve">and relocation </w:t>
      </w:r>
      <w:r>
        <w:rPr>
          <w:sz w:val="20"/>
          <w:szCs w:val="20"/>
        </w:rPr>
        <w:t>allowance</w:t>
      </w:r>
      <w:r w:rsidR="00386FF2">
        <w:rPr>
          <w:sz w:val="20"/>
          <w:szCs w:val="20"/>
        </w:rPr>
        <w:t xml:space="preserve"> will be withheld from his or her first paycheck</w:t>
      </w:r>
      <w:r w:rsidR="0098328B">
        <w:rPr>
          <w:sz w:val="20"/>
          <w:szCs w:val="20"/>
        </w:rPr>
        <w:t>,</w:t>
      </w:r>
      <w:r w:rsidR="00F147A8">
        <w:rPr>
          <w:sz w:val="20"/>
          <w:szCs w:val="20"/>
        </w:rPr>
        <w:t xml:space="preserve"> </w:t>
      </w:r>
      <w:r w:rsidR="00F147A8" w:rsidRPr="006A2674">
        <w:rPr>
          <w:sz w:val="20"/>
          <w:szCs w:val="20"/>
        </w:rPr>
        <w:t xml:space="preserve">unless </w:t>
      </w:r>
      <w:r w:rsidR="0098328B" w:rsidRPr="006A2674">
        <w:rPr>
          <w:sz w:val="20"/>
          <w:szCs w:val="20"/>
        </w:rPr>
        <w:t xml:space="preserve">the new employee contacts the Payroll Office and arranges </w:t>
      </w:r>
      <w:r w:rsidR="00F147A8" w:rsidRPr="006A2674">
        <w:rPr>
          <w:sz w:val="20"/>
          <w:szCs w:val="20"/>
        </w:rPr>
        <w:t>otherwi</w:t>
      </w:r>
      <w:r w:rsidR="0098328B" w:rsidRPr="006A2674">
        <w:rPr>
          <w:sz w:val="20"/>
          <w:szCs w:val="20"/>
        </w:rPr>
        <w:t>se</w:t>
      </w:r>
      <w:r w:rsidRPr="006A2674">
        <w:rPr>
          <w:sz w:val="20"/>
          <w:szCs w:val="20"/>
        </w:rPr>
        <w:t>.</w:t>
      </w:r>
      <w:r w:rsidR="005C3405" w:rsidRPr="006A2674">
        <w:rPr>
          <w:sz w:val="20"/>
          <w:szCs w:val="20"/>
        </w:rPr>
        <w:t xml:space="preserve"> </w:t>
      </w:r>
    </w:p>
    <w:p w:rsidR="004B690D" w:rsidRPr="00C8302C" w:rsidRDefault="00AC125D" w:rsidP="00290325">
      <w:pPr>
        <w:pStyle w:val="Heading2"/>
        <w:ind w:left="720" w:hanging="360"/>
        <w:rPr>
          <w:rFonts w:ascii="Palatino Linotype" w:hAnsi="Palatino Linotype"/>
          <w:bCs w:val="0"/>
          <w:iCs w:val="0"/>
          <w:color w:val="auto"/>
          <w:sz w:val="20"/>
          <w:szCs w:val="20"/>
        </w:rPr>
      </w:pPr>
      <w:bookmarkStart w:id="11" w:name="_Toc104759791"/>
      <w:r>
        <w:rPr>
          <w:rFonts w:ascii="Palatino Linotype" w:hAnsi="Palatino Linotype"/>
          <w:bCs w:val="0"/>
          <w:iCs w:val="0"/>
          <w:color w:val="auto"/>
          <w:sz w:val="20"/>
          <w:szCs w:val="20"/>
        </w:rPr>
        <w:t>2</w:t>
      </w:r>
      <w:r w:rsidR="00A878AE" w:rsidRPr="00C8302C">
        <w:rPr>
          <w:rFonts w:ascii="Palatino Linotype" w:hAnsi="Palatino Linotype"/>
          <w:bCs w:val="0"/>
          <w:iCs w:val="0"/>
          <w:color w:val="auto"/>
          <w:sz w:val="20"/>
          <w:szCs w:val="20"/>
        </w:rPr>
        <w:t xml:space="preserve">. </w:t>
      </w:r>
      <w:r w:rsidR="004B690D" w:rsidRPr="00C8302C">
        <w:rPr>
          <w:rFonts w:ascii="Palatino Linotype" w:hAnsi="Palatino Linotype"/>
          <w:bCs w:val="0"/>
          <w:iCs w:val="0"/>
          <w:color w:val="auto"/>
          <w:sz w:val="20"/>
          <w:szCs w:val="20"/>
        </w:rPr>
        <w:t>Reimbursement</w:t>
      </w:r>
      <w:bookmarkEnd w:id="11"/>
    </w:p>
    <w:p w:rsidR="00C032B0" w:rsidRDefault="00F22B5A" w:rsidP="00290325">
      <w:pPr>
        <w:ind w:left="360"/>
        <w:jc w:val="both"/>
        <w:rPr>
          <w:rFonts w:eastAsia="Times New Roman" w:cs="LFJEOP+TimesNewRoman"/>
          <w:color w:val="000000"/>
          <w:sz w:val="20"/>
          <w:szCs w:val="20"/>
        </w:rPr>
      </w:pPr>
      <w:r w:rsidRPr="00F22B5A">
        <w:rPr>
          <w:sz w:val="20"/>
          <w:szCs w:val="20"/>
        </w:rPr>
        <w:t xml:space="preserve">If </w:t>
      </w:r>
      <w:r>
        <w:rPr>
          <w:sz w:val="20"/>
          <w:szCs w:val="20"/>
        </w:rPr>
        <w:t>the</w:t>
      </w:r>
      <w:r w:rsidR="00A25743">
        <w:rPr>
          <w:sz w:val="20"/>
          <w:szCs w:val="20"/>
        </w:rPr>
        <w:t xml:space="preserve"> new employee</w:t>
      </w:r>
      <w:r>
        <w:rPr>
          <w:sz w:val="20"/>
          <w:szCs w:val="20"/>
        </w:rPr>
        <w:t xml:space="preserve"> elects to receive the</w:t>
      </w:r>
      <w:r w:rsidR="00A25743">
        <w:rPr>
          <w:sz w:val="20"/>
          <w:szCs w:val="20"/>
        </w:rPr>
        <w:t xml:space="preserve"> reimbursement</w:t>
      </w:r>
      <w:r>
        <w:rPr>
          <w:sz w:val="20"/>
          <w:szCs w:val="20"/>
        </w:rPr>
        <w:t xml:space="preserve"> payment after the employment start date, the </w:t>
      </w:r>
      <w:r w:rsidR="00BA2D85">
        <w:rPr>
          <w:sz w:val="20"/>
          <w:szCs w:val="20"/>
        </w:rPr>
        <w:t xml:space="preserve">moving and relocation </w:t>
      </w:r>
      <w:r>
        <w:rPr>
          <w:sz w:val="20"/>
          <w:szCs w:val="20"/>
        </w:rPr>
        <w:t xml:space="preserve">allowance will be processed </w:t>
      </w:r>
      <w:r w:rsidR="00837D44" w:rsidRPr="00346C95">
        <w:rPr>
          <w:rFonts w:eastAsia="Times New Roman" w:cs="LFJEOP+TimesNewRoman"/>
          <w:color w:val="000000"/>
          <w:sz w:val="20"/>
          <w:szCs w:val="20"/>
        </w:rPr>
        <w:t xml:space="preserve">by the </w:t>
      </w:r>
      <w:r w:rsidR="00837D44" w:rsidRPr="00AB3025">
        <w:rPr>
          <w:rFonts w:eastAsia="Times New Roman" w:cs="LFJEOP+TimesNewRoman"/>
          <w:b/>
          <w:color w:val="000000"/>
          <w:sz w:val="20"/>
          <w:szCs w:val="20"/>
        </w:rPr>
        <w:t xml:space="preserve">Payroll </w:t>
      </w:r>
      <w:r w:rsidR="0005102E" w:rsidRPr="00AB3025">
        <w:rPr>
          <w:rFonts w:eastAsia="Times New Roman" w:cs="LFJEOP+TimesNewRoman"/>
          <w:b/>
          <w:color w:val="000000"/>
          <w:sz w:val="20"/>
          <w:szCs w:val="20"/>
        </w:rPr>
        <w:t>Office</w:t>
      </w:r>
      <w:r w:rsidR="0005102E">
        <w:rPr>
          <w:rFonts w:eastAsia="Times New Roman" w:cs="LFJEOP+TimesNewRoman"/>
          <w:color w:val="000000"/>
          <w:sz w:val="20"/>
          <w:szCs w:val="20"/>
        </w:rPr>
        <w:t xml:space="preserve"> as </w:t>
      </w:r>
      <w:r w:rsidR="00837D44" w:rsidRPr="00346C95">
        <w:rPr>
          <w:rFonts w:eastAsia="Times New Roman" w:cs="LFJEOP+TimesNewRoman"/>
          <w:color w:val="000000"/>
          <w:sz w:val="20"/>
          <w:szCs w:val="20"/>
        </w:rPr>
        <w:t>a regular paycheck</w:t>
      </w:r>
      <w:r w:rsidR="00837D44">
        <w:rPr>
          <w:rFonts w:eastAsia="Times New Roman" w:cs="LFJEOP+TimesNewRoman"/>
          <w:color w:val="000000"/>
          <w:sz w:val="20"/>
          <w:szCs w:val="20"/>
        </w:rPr>
        <w:t xml:space="preserve"> and will not exceed the allowance </w:t>
      </w:r>
      <w:r w:rsidR="0005102E">
        <w:rPr>
          <w:rFonts w:eastAsia="Times New Roman" w:cs="LFJEOP+TimesNewRoman"/>
          <w:color w:val="000000"/>
          <w:sz w:val="20"/>
          <w:szCs w:val="20"/>
        </w:rPr>
        <w:t xml:space="preserve">approved </w:t>
      </w:r>
      <w:r w:rsidR="00837D44">
        <w:rPr>
          <w:rFonts w:eastAsia="Times New Roman" w:cs="LFJEOP+TimesNewRoman"/>
          <w:color w:val="000000"/>
          <w:sz w:val="20"/>
          <w:szCs w:val="20"/>
        </w:rPr>
        <w:t>in the offer letter.</w:t>
      </w:r>
      <w:r w:rsidR="004577C8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AD0EF2">
        <w:rPr>
          <w:rFonts w:eastAsia="Times New Roman" w:cs="LFJEOP+TimesNewRoman"/>
          <w:sz w:val="20"/>
          <w:szCs w:val="20"/>
        </w:rPr>
        <w:t xml:space="preserve">A copy of the offer letter stating the amount of the moving and relocation allowance and evidence that the offer has been accepted must be submitted </w:t>
      </w:r>
      <w:r w:rsidR="00FE3D57">
        <w:rPr>
          <w:rFonts w:eastAsia="Times New Roman" w:cs="LFJEOP+TimesNewRoman"/>
          <w:sz w:val="20"/>
          <w:szCs w:val="20"/>
        </w:rPr>
        <w:t xml:space="preserve">to the Payroll Office </w:t>
      </w:r>
      <w:r w:rsidR="00AD0EF2">
        <w:rPr>
          <w:rFonts w:eastAsia="Times New Roman" w:cs="LFJEOP+TimesNewRoman"/>
          <w:sz w:val="20"/>
          <w:szCs w:val="20"/>
        </w:rPr>
        <w:t>as supporting documentation</w:t>
      </w:r>
      <w:r w:rsidR="00AC125D" w:rsidRPr="00AC125D">
        <w:rPr>
          <w:rFonts w:eastAsia="Times New Roman" w:cs="LFJEOP+TimesNewRoman"/>
          <w:color w:val="000000"/>
          <w:sz w:val="20"/>
          <w:szCs w:val="20"/>
        </w:rPr>
        <w:t>.</w:t>
      </w:r>
      <w:r w:rsidR="005B2182">
        <w:rPr>
          <w:rFonts w:eastAsia="Times New Roman" w:cs="LFJEOP+TimesNewRoman"/>
          <w:color w:val="000000"/>
          <w:sz w:val="20"/>
          <w:szCs w:val="20"/>
        </w:rPr>
        <w:t xml:space="preserve"> If a reduced</w:t>
      </w:r>
      <w:r w:rsidR="00F81052">
        <w:rPr>
          <w:rFonts w:eastAsia="Times New Roman" w:cs="LFJEOP+TimesNewRoman"/>
          <w:color w:val="000000"/>
          <w:sz w:val="20"/>
          <w:szCs w:val="20"/>
        </w:rPr>
        <w:t xml:space="preserve"> reimbursement</w:t>
      </w:r>
      <w:r w:rsidR="005B2182">
        <w:rPr>
          <w:rFonts w:eastAsia="Times New Roman" w:cs="LFJEOP+TimesNewRoman"/>
          <w:color w:val="000000"/>
          <w:sz w:val="20"/>
          <w:szCs w:val="20"/>
        </w:rPr>
        <w:t xml:space="preserve"> is requested, the hiring department </w:t>
      </w:r>
      <w:r w:rsidR="00863720">
        <w:rPr>
          <w:rFonts w:eastAsia="Times New Roman" w:cs="LFJEOP+TimesNewRoman"/>
          <w:color w:val="000000"/>
          <w:sz w:val="20"/>
          <w:szCs w:val="20"/>
        </w:rPr>
        <w:t>will need</w:t>
      </w:r>
      <w:r w:rsidR="005B2182">
        <w:rPr>
          <w:rFonts w:eastAsia="Times New Roman" w:cs="LFJEOP+TimesNewRoman"/>
          <w:color w:val="000000"/>
          <w:sz w:val="20"/>
          <w:szCs w:val="20"/>
        </w:rPr>
        <w:t xml:space="preserve"> to state th</w:t>
      </w:r>
      <w:r w:rsidR="00863720">
        <w:rPr>
          <w:rFonts w:eastAsia="Times New Roman" w:cs="LFJEOP+TimesNewRoman"/>
          <w:color w:val="000000"/>
          <w:sz w:val="20"/>
          <w:szCs w:val="20"/>
        </w:rPr>
        <w:t>e</w:t>
      </w:r>
      <w:r w:rsidR="005B2182">
        <w:rPr>
          <w:rFonts w:eastAsia="Times New Roman" w:cs="LFJEOP+TimesNewRoman"/>
          <w:color w:val="000000"/>
          <w:sz w:val="20"/>
          <w:szCs w:val="20"/>
        </w:rPr>
        <w:t xml:space="preserve"> amount on the </w:t>
      </w:r>
      <w:r w:rsidR="005B2182">
        <w:rPr>
          <w:rFonts w:eastAsia="Times New Roman" w:cs="LFJEOP+TimesNewRoman"/>
          <w:sz w:val="20"/>
          <w:szCs w:val="20"/>
        </w:rPr>
        <w:t xml:space="preserve">Moving Advance Payment/Reimbursement Form </w:t>
      </w:r>
      <w:r w:rsidR="00A32A43">
        <w:rPr>
          <w:rFonts w:eastAsia="Times New Roman" w:cs="LFJEOP+TimesNewRoman"/>
          <w:sz w:val="20"/>
          <w:szCs w:val="20"/>
        </w:rPr>
        <w:t>and provide supporting documentation</w:t>
      </w:r>
      <w:r w:rsidR="005F1771">
        <w:rPr>
          <w:rFonts w:eastAsia="Times New Roman" w:cs="LFJEOP+TimesNewRoman"/>
          <w:sz w:val="20"/>
          <w:szCs w:val="20"/>
        </w:rPr>
        <w:t xml:space="preserve"> for</w:t>
      </w:r>
      <w:r w:rsidR="00863720">
        <w:rPr>
          <w:rFonts w:eastAsia="Times New Roman" w:cs="LFJEOP+TimesNewRoman"/>
          <w:sz w:val="20"/>
          <w:szCs w:val="20"/>
        </w:rPr>
        <w:t xml:space="preserve"> </w:t>
      </w:r>
      <w:r w:rsidR="005B2182">
        <w:rPr>
          <w:rFonts w:eastAsia="Times New Roman" w:cs="LFJEOP+TimesNewRoman"/>
          <w:sz w:val="20"/>
          <w:szCs w:val="20"/>
        </w:rPr>
        <w:t>the reduction</w:t>
      </w:r>
      <w:r w:rsidR="005B2182">
        <w:rPr>
          <w:rFonts w:eastAsia="Times New Roman" w:cs="LFJEOP+TimesNewRoman"/>
          <w:color w:val="000000"/>
          <w:sz w:val="20"/>
          <w:szCs w:val="20"/>
        </w:rPr>
        <w:t>.</w:t>
      </w:r>
    </w:p>
    <w:p w:rsidR="00B216B8" w:rsidRPr="009F2FBC" w:rsidRDefault="005C4025" w:rsidP="00B216B8">
      <w:pPr>
        <w:pStyle w:val="Heading2"/>
        <w:ind w:left="360" w:hanging="360"/>
      </w:pPr>
      <w:bookmarkStart w:id="12" w:name="_Toc104759792"/>
      <w:r>
        <w:rPr>
          <w:bCs w:val="0"/>
          <w:iCs w:val="0"/>
        </w:rPr>
        <w:t>E</w:t>
      </w:r>
      <w:r w:rsidR="00B216B8" w:rsidRPr="009F2FBC">
        <w:rPr>
          <w:bCs w:val="0"/>
          <w:iCs w:val="0"/>
        </w:rPr>
        <w:t xml:space="preserve">.  </w:t>
      </w:r>
      <w:r w:rsidR="005D41DB">
        <w:rPr>
          <w:bCs w:val="0"/>
          <w:iCs w:val="0"/>
        </w:rPr>
        <w:t>Allowable Expenditures</w:t>
      </w:r>
      <w:bookmarkEnd w:id="12"/>
    </w:p>
    <w:p w:rsidR="00346C95" w:rsidRPr="00346C95" w:rsidRDefault="00CB2613" w:rsidP="00346C95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Allowable expenditures are</w:t>
      </w:r>
      <w:r w:rsidR="00346C95" w:rsidRPr="00346C95">
        <w:rPr>
          <w:sz w:val="20"/>
          <w:szCs w:val="20"/>
        </w:rPr>
        <w:t xml:space="preserve"> reasonable expenses of the</w:t>
      </w:r>
      <w:r w:rsidR="00D3469D">
        <w:rPr>
          <w:sz w:val="20"/>
          <w:szCs w:val="20"/>
        </w:rPr>
        <w:t xml:space="preserve"> new</w:t>
      </w:r>
      <w:r w:rsidR="00346C95" w:rsidRPr="00346C95">
        <w:rPr>
          <w:sz w:val="20"/>
          <w:szCs w:val="20"/>
        </w:rPr>
        <w:t xml:space="preserve"> employee and members of</w:t>
      </w:r>
      <w:r w:rsidR="00D106B7">
        <w:rPr>
          <w:sz w:val="20"/>
          <w:szCs w:val="20"/>
        </w:rPr>
        <w:t xml:space="preserve"> </w:t>
      </w:r>
      <w:r w:rsidR="00D548FA">
        <w:rPr>
          <w:sz w:val="20"/>
          <w:szCs w:val="20"/>
        </w:rPr>
        <w:t>one’s</w:t>
      </w:r>
      <w:r w:rsidR="00346C95" w:rsidRPr="00346C95">
        <w:rPr>
          <w:sz w:val="20"/>
          <w:szCs w:val="20"/>
        </w:rPr>
        <w:t xml:space="preserve"> household for:</w:t>
      </w:r>
    </w:p>
    <w:p w:rsidR="00346C95" w:rsidRPr="00CB2613" w:rsidRDefault="00346C95" w:rsidP="00CB2613">
      <w:pPr>
        <w:pStyle w:val="ListParagraph"/>
        <w:keepLines w:val="0"/>
        <w:numPr>
          <w:ilvl w:val="0"/>
          <w:numId w:val="29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CB2613">
        <w:rPr>
          <w:sz w:val="20"/>
          <w:szCs w:val="20"/>
        </w:rPr>
        <w:t xml:space="preserve">Moving household goods and personal effects (including storage expenses) </w:t>
      </w:r>
      <w:r w:rsidR="00094ADB">
        <w:rPr>
          <w:sz w:val="20"/>
          <w:szCs w:val="20"/>
        </w:rPr>
        <w:t xml:space="preserve">and household pets </w:t>
      </w:r>
      <w:r w:rsidRPr="00CB2613">
        <w:rPr>
          <w:sz w:val="20"/>
          <w:szCs w:val="20"/>
        </w:rPr>
        <w:t xml:space="preserve">from </w:t>
      </w:r>
      <w:r w:rsidR="00C80EC5">
        <w:rPr>
          <w:sz w:val="20"/>
          <w:szCs w:val="20"/>
        </w:rPr>
        <w:t>the former</w:t>
      </w:r>
      <w:r w:rsidR="00540AEE">
        <w:rPr>
          <w:sz w:val="20"/>
          <w:szCs w:val="20"/>
        </w:rPr>
        <w:t xml:space="preserve"> home</w:t>
      </w:r>
      <w:r w:rsidR="00FB5B2A">
        <w:rPr>
          <w:sz w:val="20"/>
          <w:szCs w:val="20"/>
        </w:rPr>
        <w:t>;</w:t>
      </w:r>
    </w:p>
    <w:p w:rsidR="00346C95" w:rsidRPr="00CB2613" w:rsidRDefault="00FB5B2A" w:rsidP="00CB2613">
      <w:pPr>
        <w:pStyle w:val="ListParagraph"/>
        <w:keepLines w:val="0"/>
        <w:numPr>
          <w:ilvl w:val="0"/>
          <w:numId w:val="29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Traveling to the </w:t>
      </w:r>
      <w:r w:rsidR="00540AEE">
        <w:rPr>
          <w:sz w:val="20"/>
          <w:szCs w:val="20"/>
        </w:rPr>
        <w:t>new home</w:t>
      </w:r>
      <w:r>
        <w:rPr>
          <w:sz w:val="20"/>
          <w:szCs w:val="20"/>
        </w:rPr>
        <w:t>;</w:t>
      </w:r>
    </w:p>
    <w:p w:rsidR="00346C95" w:rsidRPr="00CB2613" w:rsidRDefault="00346C95" w:rsidP="00CB2613">
      <w:pPr>
        <w:pStyle w:val="ListParagraph"/>
        <w:keepLines w:val="0"/>
        <w:numPr>
          <w:ilvl w:val="0"/>
          <w:numId w:val="29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CB2613">
        <w:rPr>
          <w:sz w:val="20"/>
          <w:szCs w:val="20"/>
        </w:rPr>
        <w:t>Temporary living expenses at the new loca</w:t>
      </w:r>
      <w:r w:rsidR="00540AEE">
        <w:rPr>
          <w:sz w:val="20"/>
          <w:szCs w:val="20"/>
        </w:rPr>
        <w:t>tion</w:t>
      </w:r>
      <w:r w:rsidR="00FB5B2A">
        <w:rPr>
          <w:sz w:val="20"/>
          <w:szCs w:val="20"/>
        </w:rPr>
        <w:t>;</w:t>
      </w:r>
    </w:p>
    <w:p w:rsidR="00346C95" w:rsidRPr="00CB2613" w:rsidRDefault="00C70288" w:rsidP="00CB2613">
      <w:pPr>
        <w:pStyle w:val="ListParagraph"/>
        <w:keepLines w:val="0"/>
        <w:numPr>
          <w:ilvl w:val="0"/>
          <w:numId w:val="29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One house hunting trip.</w:t>
      </w:r>
    </w:p>
    <w:p w:rsidR="008427F6" w:rsidRDefault="00D3469D" w:rsidP="00837D44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It</w:t>
      </w:r>
      <w:r w:rsidR="008427F6">
        <w:rPr>
          <w:sz w:val="20"/>
          <w:szCs w:val="20"/>
        </w:rPr>
        <w:t xml:space="preserve"> include</w:t>
      </w:r>
      <w:r>
        <w:rPr>
          <w:sz w:val="20"/>
          <w:szCs w:val="20"/>
        </w:rPr>
        <w:t>s</w:t>
      </w:r>
      <w:r w:rsidR="008427F6">
        <w:rPr>
          <w:sz w:val="20"/>
          <w:szCs w:val="20"/>
        </w:rPr>
        <w:t xml:space="preserve">, but </w:t>
      </w:r>
      <w:r w:rsidR="00094ADB">
        <w:rPr>
          <w:sz w:val="20"/>
          <w:szCs w:val="20"/>
        </w:rPr>
        <w:t>is</w:t>
      </w:r>
      <w:r w:rsidR="008427F6">
        <w:rPr>
          <w:sz w:val="20"/>
          <w:szCs w:val="20"/>
        </w:rPr>
        <w:t xml:space="preserve"> not limited to:</w:t>
      </w:r>
    </w:p>
    <w:p w:rsidR="00540AEE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540AEE">
        <w:rPr>
          <w:sz w:val="20"/>
          <w:szCs w:val="20"/>
        </w:rPr>
        <w:t>The cost of a profes</w:t>
      </w:r>
      <w:r w:rsidR="00990D73">
        <w:rPr>
          <w:sz w:val="20"/>
          <w:szCs w:val="20"/>
        </w:rPr>
        <w:t>sional moving service</w:t>
      </w:r>
      <w:r w:rsidRPr="00540AEE">
        <w:rPr>
          <w:sz w:val="20"/>
          <w:szCs w:val="20"/>
        </w:rPr>
        <w:t xml:space="preserve"> if approved by </w:t>
      </w:r>
      <w:r w:rsidR="008E2790">
        <w:rPr>
          <w:sz w:val="20"/>
          <w:szCs w:val="20"/>
        </w:rPr>
        <w:t>the</w:t>
      </w:r>
      <w:r w:rsidR="001C5E2A">
        <w:rPr>
          <w:sz w:val="20"/>
          <w:szCs w:val="20"/>
        </w:rPr>
        <w:t xml:space="preserve"> appropriate</w:t>
      </w:r>
      <w:r w:rsidR="0001221C">
        <w:rPr>
          <w:sz w:val="20"/>
          <w:szCs w:val="20"/>
        </w:rPr>
        <w:t xml:space="preserve"> </w:t>
      </w:r>
      <w:r w:rsidR="00937A77">
        <w:rPr>
          <w:sz w:val="20"/>
          <w:szCs w:val="20"/>
        </w:rPr>
        <w:t>division head (</w:t>
      </w:r>
      <w:r w:rsidR="0001221C">
        <w:rPr>
          <w:sz w:val="20"/>
          <w:szCs w:val="20"/>
        </w:rPr>
        <w:t xml:space="preserve">President or </w:t>
      </w:r>
      <w:r w:rsidR="00160EFD">
        <w:rPr>
          <w:sz w:val="20"/>
          <w:szCs w:val="20"/>
        </w:rPr>
        <w:t xml:space="preserve">Vice </w:t>
      </w:r>
      <w:r w:rsidR="0001221C">
        <w:rPr>
          <w:sz w:val="20"/>
          <w:szCs w:val="20"/>
        </w:rPr>
        <w:t>President</w:t>
      </w:r>
      <w:r w:rsidR="00937A77">
        <w:rPr>
          <w:sz w:val="20"/>
          <w:szCs w:val="20"/>
        </w:rPr>
        <w:t>)</w:t>
      </w:r>
      <w:r w:rsidR="0001221C">
        <w:rPr>
          <w:sz w:val="20"/>
          <w:szCs w:val="20"/>
        </w:rPr>
        <w:t>, as applicable</w:t>
      </w:r>
      <w:r w:rsidR="00990D73">
        <w:rPr>
          <w:sz w:val="20"/>
          <w:szCs w:val="20"/>
        </w:rPr>
        <w:t>;</w:t>
      </w:r>
    </w:p>
    <w:p w:rsidR="00E62761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540AEE">
        <w:rPr>
          <w:sz w:val="20"/>
          <w:szCs w:val="20"/>
        </w:rPr>
        <w:t>The cost of shippin</w:t>
      </w:r>
      <w:r w:rsidR="003B4D3B">
        <w:rPr>
          <w:sz w:val="20"/>
          <w:szCs w:val="20"/>
        </w:rPr>
        <w:t>g a personal vehicle</w:t>
      </w:r>
      <w:r w:rsidR="00990D73">
        <w:rPr>
          <w:sz w:val="20"/>
          <w:szCs w:val="20"/>
        </w:rPr>
        <w:t>;</w:t>
      </w:r>
    </w:p>
    <w:p w:rsidR="00837D44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540AEE">
        <w:rPr>
          <w:sz w:val="20"/>
          <w:szCs w:val="20"/>
        </w:rPr>
        <w:t>The costs incurred in a self-service move such as equipment rental, truck fuel, labor to load and unload, packing supplies, an</w:t>
      </w:r>
      <w:r w:rsidR="003B4D3B">
        <w:rPr>
          <w:sz w:val="20"/>
          <w:szCs w:val="20"/>
        </w:rPr>
        <w:t>d shipping expenses</w:t>
      </w:r>
      <w:r w:rsidR="00761625">
        <w:rPr>
          <w:sz w:val="20"/>
          <w:szCs w:val="20"/>
        </w:rPr>
        <w:t>;</w:t>
      </w:r>
    </w:p>
    <w:p w:rsidR="00ED0E44" w:rsidRPr="007050BF" w:rsidRDefault="00837D44" w:rsidP="007050BF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E62761">
        <w:rPr>
          <w:sz w:val="20"/>
          <w:szCs w:val="20"/>
        </w:rPr>
        <w:t>The cost of drivi</w:t>
      </w:r>
      <w:r w:rsidR="00CF0454">
        <w:rPr>
          <w:sz w:val="20"/>
          <w:szCs w:val="20"/>
        </w:rPr>
        <w:t xml:space="preserve">ng a personal </w:t>
      </w:r>
      <w:r w:rsidR="00037178">
        <w:rPr>
          <w:sz w:val="20"/>
          <w:szCs w:val="20"/>
        </w:rPr>
        <w:t xml:space="preserve">owned </w:t>
      </w:r>
      <w:r w:rsidR="00CF0454">
        <w:rPr>
          <w:sz w:val="20"/>
          <w:szCs w:val="20"/>
        </w:rPr>
        <w:t>or rented vehicle</w:t>
      </w:r>
      <w:r w:rsidRPr="00E62761">
        <w:rPr>
          <w:sz w:val="20"/>
          <w:szCs w:val="20"/>
        </w:rPr>
        <w:t xml:space="preserve">, based on the most direct route from </w:t>
      </w:r>
      <w:r w:rsidR="003B4D3B">
        <w:rPr>
          <w:sz w:val="20"/>
          <w:szCs w:val="20"/>
        </w:rPr>
        <w:t>the</w:t>
      </w:r>
      <w:r w:rsidR="00E62761">
        <w:rPr>
          <w:sz w:val="20"/>
          <w:szCs w:val="20"/>
        </w:rPr>
        <w:t xml:space="preserve"> former </w:t>
      </w:r>
      <w:r w:rsidR="00652607">
        <w:rPr>
          <w:sz w:val="20"/>
          <w:szCs w:val="20"/>
        </w:rPr>
        <w:t>home</w:t>
      </w:r>
      <w:r w:rsidR="00E62761">
        <w:rPr>
          <w:sz w:val="20"/>
          <w:szCs w:val="20"/>
        </w:rPr>
        <w:t xml:space="preserve"> to </w:t>
      </w:r>
      <w:r w:rsidR="003B4D3B">
        <w:rPr>
          <w:sz w:val="20"/>
          <w:szCs w:val="20"/>
        </w:rPr>
        <w:t>the</w:t>
      </w:r>
      <w:r w:rsidR="00D11ACE">
        <w:rPr>
          <w:sz w:val="20"/>
          <w:szCs w:val="20"/>
        </w:rPr>
        <w:t xml:space="preserve"> new </w:t>
      </w:r>
      <w:r w:rsidR="00652607">
        <w:rPr>
          <w:sz w:val="20"/>
          <w:szCs w:val="20"/>
        </w:rPr>
        <w:t>home</w:t>
      </w:r>
      <w:r w:rsidR="00CF0454">
        <w:rPr>
          <w:sz w:val="20"/>
          <w:szCs w:val="20"/>
        </w:rPr>
        <w:t>;</w:t>
      </w:r>
      <w:r w:rsidR="00D11ACE">
        <w:rPr>
          <w:sz w:val="20"/>
          <w:szCs w:val="20"/>
        </w:rPr>
        <w:t xml:space="preserve"> </w:t>
      </w:r>
      <w:r w:rsidR="00CF0454">
        <w:rPr>
          <w:sz w:val="20"/>
          <w:szCs w:val="20"/>
        </w:rPr>
        <w:t>m</w:t>
      </w:r>
      <w:r w:rsidRPr="00E62761">
        <w:rPr>
          <w:sz w:val="20"/>
          <w:szCs w:val="20"/>
        </w:rPr>
        <w:t>ileage is reimbursed at actual cost of gas and oil, or the</w:t>
      </w:r>
      <w:r w:rsidR="00037178">
        <w:rPr>
          <w:sz w:val="20"/>
          <w:szCs w:val="20"/>
        </w:rPr>
        <w:t xml:space="preserve"> New Mexico </w:t>
      </w:r>
      <w:r w:rsidRPr="00E62761">
        <w:rPr>
          <w:sz w:val="20"/>
          <w:szCs w:val="20"/>
        </w:rPr>
        <w:t>mileage rate</w:t>
      </w:r>
      <w:r w:rsidR="00906A7A">
        <w:rPr>
          <w:sz w:val="20"/>
          <w:szCs w:val="20"/>
        </w:rPr>
        <w:t xml:space="preserve"> in effect at the time of travel</w:t>
      </w:r>
      <w:r w:rsidR="00CF0454">
        <w:rPr>
          <w:sz w:val="20"/>
          <w:szCs w:val="20"/>
        </w:rPr>
        <w:t>;</w:t>
      </w:r>
    </w:p>
    <w:p w:rsidR="0091200C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E62761">
        <w:rPr>
          <w:sz w:val="20"/>
          <w:szCs w:val="20"/>
        </w:rPr>
        <w:t>Parking fees and toll</w:t>
      </w:r>
      <w:r w:rsidR="00CF0454">
        <w:rPr>
          <w:sz w:val="20"/>
          <w:szCs w:val="20"/>
        </w:rPr>
        <w:t>s while in transit;</w:t>
      </w:r>
    </w:p>
    <w:p w:rsidR="0091200C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E62761">
        <w:rPr>
          <w:sz w:val="20"/>
          <w:szCs w:val="20"/>
        </w:rPr>
        <w:t xml:space="preserve">Air transportation costs from the </w:t>
      </w:r>
      <w:r w:rsidR="00147F5D">
        <w:rPr>
          <w:sz w:val="20"/>
          <w:szCs w:val="20"/>
        </w:rPr>
        <w:t xml:space="preserve">new </w:t>
      </w:r>
      <w:r w:rsidRPr="00E62761">
        <w:rPr>
          <w:sz w:val="20"/>
          <w:szCs w:val="20"/>
        </w:rPr>
        <w:t xml:space="preserve">employee’s former home to </w:t>
      </w:r>
      <w:r w:rsidR="00652607">
        <w:rPr>
          <w:sz w:val="20"/>
          <w:szCs w:val="20"/>
        </w:rPr>
        <w:t>the</w:t>
      </w:r>
      <w:r w:rsidRPr="00E62761">
        <w:rPr>
          <w:sz w:val="20"/>
          <w:szCs w:val="20"/>
        </w:rPr>
        <w:t xml:space="preserve"> new </w:t>
      </w:r>
      <w:r w:rsidR="00CF0454">
        <w:rPr>
          <w:sz w:val="20"/>
          <w:szCs w:val="20"/>
        </w:rPr>
        <w:t>home;</w:t>
      </w:r>
    </w:p>
    <w:p w:rsidR="00837D44" w:rsidRPr="006E22F6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E62761">
        <w:rPr>
          <w:sz w:val="20"/>
          <w:szCs w:val="20"/>
        </w:rPr>
        <w:lastRenderedPageBreak/>
        <w:t>Temporary transportation</w:t>
      </w:r>
      <w:r w:rsidR="00147F5D">
        <w:rPr>
          <w:sz w:val="20"/>
          <w:szCs w:val="20"/>
        </w:rPr>
        <w:t xml:space="preserve"> expenses</w:t>
      </w:r>
      <w:r w:rsidR="0091200C">
        <w:rPr>
          <w:sz w:val="20"/>
          <w:szCs w:val="20"/>
        </w:rPr>
        <w:t>,</w:t>
      </w:r>
      <w:r w:rsidRPr="00E62761">
        <w:rPr>
          <w:sz w:val="20"/>
          <w:szCs w:val="20"/>
        </w:rPr>
        <w:t xml:space="preserve"> such as </w:t>
      </w:r>
      <w:r w:rsidR="00147F5D">
        <w:rPr>
          <w:sz w:val="20"/>
          <w:szCs w:val="20"/>
        </w:rPr>
        <w:t xml:space="preserve">those for </w:t>
      </w:r>
      <w:r w:rsidRPr="00E62761">
        <w:rPr>
          <w:sz w:val="20"/>
          <w:szCs w:val="20"/>
        </w:rPr>
        <w:t>a rental car</w:t>
      </w:r>
      <w:r w:rsidR="0091200C">
        <w:rPr>
          <w:sz w:val="20"/>
          <w:szCs w:val="20"/>
        </w:rPr>
        <w:t>,</w:t>
      </w:r>
      <w:r w:rsidR="00A12AEE">
        <w:rPr>
          <w:sz w:val="20"/>
          <w:szCs w:val="20"/>
        </w:rPr>
        <w:t xml:space="preserve"> </w:t>
      </w:r>
      <w:r w:rsidRPr="00E62761">
        <w:rPr>
          <w:sz w:val="20"/>
          <w:szCs w:val="20"/>
        </w:rPr>
        <w:t xml:space="preserve">if the new employee </w:t>
      </w:r>
      <w:r w:rsidR="0091200C">
        <w:rPr>
          <w:sz w:val="20"/>
          <w:szCs w:val="20"/>
        </w:rPr>
        <w:t>is relocated</w:t>
      </w:r>
      <w:r w:rsidRPr="00E62761">
        <w:rPr>
          <w:sz w:val="20"/>
          <w:szCs w:val="20"/>
        </w:rPr>
        <w:t xml:space="preserve"> without t</w:t>
      </w:r>
      <w:r w:rsidR="003E4FE5">
        <w:rPr>
          <w:sz w:val="20"/>
          <w:szCs w:val="20"/>
        </w:rPr>
        <w:t>ransportation; u</w:t>
      </w:r>
      <w:r w:rsidR="0091200C">
        <w:rPr>
          <w:sz w:val="20"/>
          <w:szCs w:val="20"/>
        </w:rPr>
        <w:t xml:space="preserve">se of this benefit for more than </w:t>
      </w:r>
      <w:r w:rsidR="00E8470A">
        <w:rPr>
          <w:sz w:val="20"/>
          <w:szCs w:val="20"/>
        </w:rPr>
        <w:t>seven (</w:t>
      </w:r>
      <w:r w:rsidR="0091200C">
        <w:rPr>
          <w:sz w:val="20"/>
          <w:szCs w:val="20"/>
        </w:rPr>
        <w:t>7</w:t>
      </w:r>
      <w:r w:rsidR="00E8470A">
        <w:rPr>
          <w:sz w:val="20"/>
          <w:szCs w:val="20"/>
        </w:rPr>
        <w:t>)</w:t>
      </w:r>
      <w:r w:rsidR="0091200C">
        <w:rPr>
          <w:sz w:val="20"/>
          <w:szCs w:val="20"/>
        </w:rPr>
        <w:t xml:space="preserve"> days requires </w:t>
      </w:r>
      <w:r w:rsidRPr="00E62761">
        <w:rPr>
          <w:sz w:val="20"/>
          <w:szCs w:val="20"/>
        </w:rPr>
        <w:t>pr</w:t>
      </w:r>
      <w:r w:rsidR="0091200C">
        <w:rPr>
          <w:sz w:val="20"/>
          <w:szCs w:val="20"/>
        </w:rPr>
        <w:t xml:space="preserve">ior written </w:t>
      </w:r>
      <w:r w:rsidR="0091200C" w:rsidRPr="006E22F6">
        <w:rPr>
          <w:sz w:val="20"/>
          <w:szCs w:val="20"/>
        </w:rPr>
        <w:t>approval</w:t>
      </w:r>
      <w:r w:rsidR="00147F5D" w:rsidRPr="006E22F6">
        <w:rPr>
          <w:sz w:val="20"/>
          <w:szCs w:val="20"/>
        </w:rPr>
        <w:t xml:space="preserve"> from the hiring department</w:t>
      </w:r>
      <w:r w:rsidR="003E4FE5" w:rsidRPr="006E22F6">
        <w:rPr>
          <w:sz w:val="20"/>
          <w:szCs w:val="20"/>
        </w:rPr>
        <w:t>;</w:t>
      </w:r>
    </w:p>
    <w:p w:rsidR="00837D44" w:rsidRDefault="00837D44" w:rsidP="00837D44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A33D35">
        <w:rPr>
          <w:sz w:val="20"/>
          <w:szCs w:val="20"/>
        </w:rPr>
        <w:t>Storage and insurance for</w:t>
      </w:r>
      <w:r w:rsidR="00DA0393">
        <w:rPr>
          <w:sz w:val="20"/>
          <w:szCs w:val="20"/>
        </w:rPr>
        <w:t xml:space="preserve"> moved</w:t>
      </w:r>
      <w:r w:rsidRPr="00A33D35">
        <w:rPr>
          <w:sz w:val="20"/>
          <w:szCs w:val="20"/>
        </w:rPr>
        <w:t xml:space="preserve"> household goods and personal effects</w:t>
      </w:r>
      <w:r w:rsidR="00E334F9">
        <w:rPr>
          <w:sz w:val="20"/>
          <w:szCs w:val="20"/>
        </w:rPr>
        <w:t xml:space="preserve"> </w:t>
      </w:r>
      <w:r w:rsidR="00A12AEE">
        <w:rPr>
          <w:sz w:val="20"/>
          <w:szCs w:val="20"/>
        </w:rPr>
        <w:t xml:space="preserve">for up to </w:t>
      </w:r>
      <w:r w:rsidR="008576B3">
        <w:rPr>
          <w:sz w:val="20"/>
          <w:szCs w:val="20"/>
        </w:rPr>
        <w:t>sixty (</w:t>
      </w:r>
      <w:r w:rsidR="00A12AEE">
        <w:rPr>
          <w:sz w:val="20"/>
          <w:szCs w:val="20"/>
        </w:rPr>
        <w:t>60</w:t>
      </w:r>
      <w:r w:rsidR="008576B3">
        <w:rPr>
          <w:sz w:val="20"/>
          <w:szCs w:val="20"/>
        </w:rPr>
        <w:t>)</w:t>
      </w:r>
      <w:r w:rsidR="00A12AEE">
        <w:rPr>
          <w:sz w:val="20"/>
          <w:szCs w:val="20"/>
        </w:rPr>
        <w:t xml:space="preserve"> days;</w:t>
      </w:r>
    </w:p>
    <w:p w:rsidR="00EB1A3F" w:rsidRPr="003E511F" w:rsidRDefault="00837D44" w:rsidP="003E511F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310E93">
        <w:rPr>
          <w:sz w:val="20"/>
          <w:szCs w:val="20"/>
        </w:rPr>
        <w:t xml:space="preserve">The actual </w:t>
      </w:r>
      <w:r w:rsidR="00E6492E" w:rsidRPr="00310E93">
        <w:rPr>
          <w:sz w:val="20"/>
          <w:szCs w:val="20"/>
        </w:rPr>
        <w:t xml:space="preserve">cost of lodging during the move; </w:t>
      </w:r>
      <w:r w:rsidR="00756C0F">
        <w:rPr>
          <w:sz w:val="20"/>
          <w:szCs w:val="20"/>
        </w:rPr>
        <w:t xml:space="preserve">or, </w:t>
      </w:r>
      <w:r w:rsidR="003E511F" w:rsidRPr="00310E93">
        <w:rPr>
          <w:sz w:val="20"/>
          <w:szCs w:val="20"/>
        </w:rPr>
        <w:t>if the employee stays at the personal residence of a friend/relative</w:t>
      </w:r>
      <w:r w:rsidR="003E511F">
        <w:rPr>
          <w:sz w:val="20"/>
          <w:szCs w:val="20"/>
        </w:rPr>
        <w:t>,</w:t>
      </w:r>
      <w:r w:rsidR="003E511F" w:rsidRPr="00310E93">
        <w:rPr>
          <w:sz w:val="20"/>
          <w:szCs w:val="20"/>
        </w:rPr>
        <w:t xml:space="preserve"> </w:t>
      </w:r>
      <w:r w:rsidR="00310E93" w:rsidRPr="00310E93">
        <w:rPr>
          <w:sz w:val="20"/>
          <w:szCs w:val="20"/>
        </w:rPr>
        <w:t>the lodging component of NMT’s travel per diem amount</w:t>
      </w:r>
      <w:r w:rsidR="003E511F">
        <w:rPr>
          <w:sz w:val="20"/>
          <w:szCs w:val="20"/>
        </w:rPr>
        <w:t xml:space="preserve"> and t</w:t>
      </w:r>
      <w:r w:rsidRPr="003E511F">
        <w:rPr>
          <w:sz w:val="20"/>
          <w:szCs w:val="20"/>
        </w:rPr>
        <w:t>he meal and incidental expense allowance</w:t>
      </w:r>
      <w:r w:rsidR="00312840" w:rsidRPr="003E511F">
        <w:rPr>
          <w:sz w:val="20"/>
          <w:szCs w:val="20"/>
        </w:rPr>
        <w:t xml:space="preserve">s for </w:t>
      </w:r>
      <w:r w:rsidR="003E72E8" w:rsidRPr="003E511F">
        <w:rPr>
          <w:sz w:val="20"/>
          <w:szCs w:val="20"/>
        </w:rPr>
        <w:t>e</w:t>
      </w:r>
      <w:r w:rsidR="0084116C" w:rsidRPr="003E511F">
        <w:rPr>
          <w:sz w:val="20"/>
          <w:szCs w:val="20"/>
        </w:rPr>
        <w:t>n</w:t>
      </w:r>
      <w:r w:rsidR="000D3DD2">
        <w:rPr>
          <w:sz w:val="20"/>
          <w:szCs w:val="20"/>
        </w:rPr>
        <w:t xml:space="preserve"> </w:t>
      </w:r>
      <w:r w:rsidR="00EB1A3F" w:rsidRPr="003E511F">
        <w:rPr>
          <w:sz w:val="20"/>
          <w:szCs w:val="20"/>
        </w:rPr>
        <w:t xml:space="preserve">route </w:t>
      </w:r>
      <w:r w:rsidR="007D2AC8" w:rsidRPr="003E511F">
        <w:rPr>
          <w:sz w:val="20"/>
          <w:szCs w:val="20"/>
        </w:rPr>
        <w:t xml:space="preserve">travel days </w:t>
      </w:r>
      <w:r w:rsidRPr="003E511F">
        <w:rPr>
          <w:sz w:val="20"/>
          <w:szCs w:val="20"/>
        </w:rPr>
        <w:t>defined in the NMT Bu</w:t>
      </w:r>
      <w:r w:rsidR="0018509B" w:rsidRPr="003E511F">
        <w:rPr>
          <w:sz w:val="20"/>
          <w:szCs w:val="20"/>
        </w:rPr>
        <w:t>siness</w:t>
      </w:r>
      <w:r w:rsidR="00756C0F">
        <w:rPr>
          <w:sz w:val="20"/>
          <w:szCs w:val="20"/>
        </w:rPr>
        <w:t xml:space="preserve"> Office Travel P</w:t>
      </w:r>
      <w:r w:rsidR="00E6492E" w:rsidRPr="003E511F">
        <w:rPr>
          <w:sz w:val="20"/>
          <w:szCs w:val="20"/>
        </w:rPr>
        <w:t>rocedures;</w:t>
      </w:r>
    </w:p>
    <w:p w:rsidR="00837D44" w:rsidRPr="00D33D62" w:rsidRDefault="00837D44" w:rsidP="00D33D62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104A25">
        <w:rPr>
          <w:sz w:val="20"/>
          <w:szCs w:val="20"/>
        </w:rPr>
        <w:t>Temporary housing expense</w:t>
      </w:r>
      <w:r w:rsidR="00AF020B">
        <w:rPr>
          <w:sz w:val="20"/>
          <w:szCs w:val="20"/>
        </w:rPr>
        <w:t>s incurred when a relocated</w:t>
      </w:r>
      <w:r w:rsidRPr="00104A25">
        <w:rPr>
          <w:sz w:val="20"/>
          <w:szCs w:val="20"/>
        </w:rPr>
        <w:t xml:space="preserve"> employee </w:t>
      </w:r>
      <w:r w:rsidR="00AF020B">
        <w:rPr>
          <w:sz w:val="20"/>
          <w:szCs w:val="20"/>
        </w:rPr>
        <w:t>arrives at the new job location and is unable to obtain permanent housing</w:t>
      </w:r>
      <w:r w:rsidR="001D1FF8">
        <w:rPr>
          <w:sz w:val="20"/>
          <w:szCs w:val="20"/>
        </w:rPr>
        <w:t>; d</w:t>
      </w:r>
      <w:r w:rsidR="00843CE0">
        <w:rPr>
          <w:sz w:val="20"/>
          <w:szCs w:val="20"/>
        </w:rPr>
        <w:t>epending on available funds, t</w:t>
      </w:r>
      <w:r w:rsidRPr="00104A25">
        <w:rPr>
          <w:sz w:val="20"/>
          <w:szCs w:val="20"/>
        </w:rPr>
        <w:t>hi</w:t>
      </w:r>
      <w:r w:rsidR="00843CE0">
        <w:rPr>
          <w:sz w:val="20"/>
          <w:szCs w:val="20"/>
        </w:rPr>
        <w:t xml:space="preserve">s expense may be limited by </w:t>
      </w:r>
      <w:r w:rsidR="003A306C">
        <w:rPr>
          <w:sz w:val="20"/>
          <w:szCs w:val="20"/>
        </w:rPr>
        <w:t>the</w:t>
      </w:r>
      <w:r w:rsidR="008C749C">
        <w:rPr>
          <w:sz w:val="20"/>
          <w:szCs w:val="20"/>
        </w:rPr>
        <w:t xml:space="preserve"> appropriate</w:t>
      </w:r>
      <w:r w:rsidR="009108F1">
        <w:rPr>
          <w:sz w:val="20"/>
          <w:szCs w:val="20"/>
        </w:rPr>
        <w:t xml:space="preserve"> </w:t>
      </w:r>
      <w:r w:rsidR="00117F3F">
        <w:rPr>
          <w:sz w:val="20"/>
          <w:szCs w:val="20"/>
        </w:rPr>
        <w:t>division head (</w:t>
      </w:r>
      <w:r w:rsidR="009108F1">
        <w:rPr>
          <w:sz w:val="20"/>
          <w:szCs w:val="20"/>
        </w:rPr>
        <w:t xml:space="preserve">President or </w:t>
      </w:r>
      <w:r w:rsidR="00CC66E2">
        <w:rPr>
          <w:sz w:val="20"/>
          <w:szCs w:val="20"/>
        </w:rPr>
        <w:t xml:space="preserve">Vice </w:t>
      </w:r>
      <w:r w:rsidR="009108F1">
        <w:rPr>
          <w:sz w:val="20"/>
          <w:szCs w:val="20"/>
        </w:rPr>
        <w:t>President</w:t>
      </w:r>
      <w:r w:rsidR="00117F3F">
        <w:rPr>
          <w:sz w:val="20"/>
          <w:szCs w:val="20"/>
        </w:rPr>
        <w:t>)</w:t>
      </w:r>
      <w:r w:rsidR="009108F1">
        <w:rPr>
          <w:sz w:val="20"/>
          <w:szCs w:val="20"/>
        </w:rPr>
        <w:t>, as applicable</w:t>
      </w:r>
      <w:r w:rsidR="001D1FF8">
        <w:rPr>
          <w:sz w:val="20"/>
          <w:szCs w:val="20"/>
        </w:rPr>
        <w:t>; u</w:t>
      </w:r>
      <w:r w:rsidR="00D33D62">
        <w:rPr>
          <w:sz w:val="20"/>
          <w:szCs w:val="20"/>
        </w:rPr>
        <w:t xml:space="preserve">se of this benefit for more than </w:t>
      </w:r>
      <w:r w:rsidR="00881B9A">
        <w:rPr>
          <w:sz w:val="20"/>
          <w:szCs w:val="20"/>
        </w:rPr>
        <w:t>seven (</w:t>
      </w:r>
      <w:r w:rsidR="00D33D62">
        <w:rPr>
          <w:sz w:val="20"/>
          <w:szCs w:val="20"/>
        </w:rPr>
        <w:t>7</w:t>
      </w:r>
      <w:r w:rsidR="00881B9A">
        <w:rPr>
          <w:sz w:val="20"/>
          <w:szCs w:val="20"/>
        </w:rPr>
        <w:t>)</w:t>
      </w:r>
      <w:r w:rsidR="00D33D62">
        <w:rPr>
          <w:sz w:val="20"/>
          <w:szCs w:val="20"/>
        </w:rPr>
        <w:t xml:space="preserve"> days requires </w:t>
      </w:r>
      <w:r w:rsidR="00D33D62" w:rsidRPr="00E62761">
        <w:rPr>
          <w:sz w:val="20"/>
          <w:szCs w:val="20"/>
        </w:rPr>
        <w:t>pr</w:t>
      </w:r>
      <w:r w:rsidR="00D33D62">
        <w:rPr>
          <w:sz w:val="20"/>
          <w:szCs w:val="20"/>
        </w:rPr>
        <w:t>ior written approval</w:t>
      </w:r>
      <w:r w:rsidR="001D1FF8">
        <w:rPr>
          <w:sz w:val="20"/>
          <w:szCs w:val="20"/>
        </w:rPr>
        <w:t xml:space="preserve">; </w:t>
      </w:r>
      <w:r w:rsidR="00AF6F85">
        <w:rPr>
          <w:sz w:val="20"/>
          <w:szCs w:val="20"/>
        </w:rPr>
        <w:t xml:space="preserve">the </w:t>
      </w:r>
      <w:r w:rsidR="001D1FF8">
        <w:rPr>
          <w:sz w:val="20"/>
          <w:szCs w:val="20"/>
        </w:rPr>
        <w:t>a</w:t>
      </w:r>
      <w:r w:rsidRPr="00D33D62">
        <w:rPr>
          <w:sz w:val="20"/>
          <w:szCs w:val="20"/>
        </w:rPr>
        <w:t xml:space="preserve">llowable amount follows the </w:t>
      </w:r>
      <w:r w:rsidR="00AF6F85">
        <w:rPr>
          <w:sz w:val="20"/>
          <w:szCs w:val="20"/>
        </w:rPr>
        <w:t>lodging limitation</w:t>
      </w:r>
      <w:r w:rsidRPr="00D33D62">
        <w:rPr>
          <w:sz w:val="20"/>
          <w:szCs w:val="20"/>
        </w:rPr>
        <w:t xml:space="preserve"> for New Mexico in-state travel in the NM</w:t>
      </w:r>
      <w:r w:rsidR="00004A6E">
        <w:rPr>
          <w:sz w:val="20"/>
          <w:szCs w:val="20"/>
        </w:rPr>
        <w:t>T Business Office Travel Policy;</w:t>
      </w:r>
      <w:r w:rsidRPr="00D33D62">
        <w:rPr>
          <w:sz w:val="20"/>
          <w:szCs w:val="20"/>
        </w:rPr>
        <w:t xml:space="preserve">  </w:t>
      </w:r>
    </w:p>
    <w:p w:rsidR="00AF020B" w:rsidRPr="00AC125D" w:rsidRDefault="00837D44" w:rsidP="00AC125D">
      <w:pPr>
        <w:pStyle w:val="ListParagraph"/>
        <w:keepLines w:val="0"/>
        <w:numPr>
          <w:ilvl w:val="0"/>
          <w:numId w:val="32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AF020B">
        <w:rPr>
          <w:sz w:val="20"/>
          <w:szCs w:val="20"/>
        </w:rPr>
        <w:t>One house-hunting trip</w:t>
      </w:r>
      <w:r w:rsidR="001D1FF8">
        <w:rPr>
          <w:sz w:val="20"/>
          <w:szCs w:val="20"/>
        </w:rPr>
        <w:t xml:space="preserve">; </w:t>
      </w:r>
      <w:r w:rsidR="006E528B">
        <w:rPr>
          <w:sz w:val="20"/>
          <w:szCs w:val="20"/>
        </w:rPr>
        <w:t>the expense reimbursement follows the limitation</w:t>
      </w:r>
      <w:r w:rsidRPr="00AF020B">
        <w:rPr>
          <w:sz w:val="20"/>
          <w:szCs w:val="20"/>
        </w:rPr>
        <w:t xml:space="preserve"> for New Mexico in-state travel in the NMT Business Office Travel Policy.</w:t>
      </w:r>
    </w:p>
    <w:p w:rsidR="00346C95" w:rsidRPr="009F2FBC" w:rsidRDefault="005C4025" w:rsidP="00346C95">
      <w:pPr>
        <w:pStyle w:val="Heading2"/>
        <w:ind w:left="360" w:hanging="360"/>
      </w:pPr>
      <w:bookmarkStart w:id="13" w:name="_Toc104759793"/>
      <w:r>
        <w:rPr>
          <w:bCs w:val="0"/>
          <w:iCs w:val="0"/>
        </w:rPr>
        <w:t>F</w:t>
      </w:r>
      <w:r w:rsidR="00346C95" w:rsidRPr="009F2FBC">
        <w:rPr>
          <w:bCs w:val="0"/>
          <w:iCs w:val="0"/>
        </w:rPr>
        <w:t xml:space="preserve">.  </w:t>
      </w:r>
      <w:r w:rsidR="00346C95">
        <w:rPr>
          <w:bCs w:val="0"/>
          <w:iCs w:val="0"/>
        </w:rPr>
        <w:t>Unallowable Expenditures</w:t>
      </w:r>
      <w:bookmarkEnd w:id="13"/>
    </w:p>
    <w:p w:rsidR="008557F7" w:rsidRPr="00346C95" w:rsidRDefault="008557F7" w:rsidP="00346C95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Expenses tha</w:t>
      </w:r>
      <w:r w:rsidR="00CC0FCC">
        <w:rPr>
          <w:sz w:val="20"/>
          <w:szCs w:val="20"/>
        </w:rPr>
        <w:t xml:space="preserve">t will not be reimbursed by NMT </w:t>
      </w:r>
      <w:r>
        <w:rPr>
          <w:sz w:val="20"/>
          <w:szCs w:val="20"/>
        </w:rPr>
        <w:t>include, but are not limited to:</w:t>
      </w:r>
    </w:p>
    <w:p w:rsidR="00346C95" w:rsidRPr="00C230AF" w:rsidRDefault="00346C95" w:rsidP="00C230AF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C230AF">
        <w:rPr>
          <w:sz w:val="20"/>
          <w:szCs w:val="20"/>
        </w:rPr>
        <w:t>Amounts in excess of the maximum agreed upon with the</w:t>
      </w:r>
      <w:r w:rsidR="006D19A6">
        <w:rPr>
          <w:sz w:val="20"/>
          <w:szCs w:val="20"/>
        </w:rPr>
        <w:t xml:space="preserve"> hiring</w:t>
      </w:r>
      <w:r w:rsidR="00C90E0A">
        <w:rPr>
          <w:sz w:val="20"/>
          <w:szCs w:val="20"/>
        </w:rPr>
        <w:t xml:space="preserve"> department</w:t>
      </w:r>
      <w:r w:rsidR="002B3E21">
        <w:rPr>
          <w:sz w:val="20"/>
          <w:szCs w:val="20"/>
        </w:rPr>
        <w:t>;</w:t>
      </w:r>
      <w:r w:rsidRPr="00C230AF">
        <w:rPr>
          <w:sz w:val="20"/>
          <w:szCs w:val="20"/>
        </w:rPr>
        <w:t xml:space="preserve"> </w:t>
      </w:r>
    </w:p>
    <w:p w:rsidR="00346C95" w:rsidRPr="00C230AF" w:rsidRDefault="00346C95" w:rsidP="00C230AF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C230AF">
        <w:rPr>
          <w:sz w:val="20"/>
          <w:szCs w:val="20"/>
        </w:rPr>
        <w:t>Expenses incurred prior to the date o</w:t>
      </w:r>
      <w:r w:rsidR="00C90E0A">
        <w:rPr>
          <w:sz w:val="20"/>
          <w:szCs w:val="20"/>
        </w:rPr>
        <w:t>f</w:t>
      </w:r>
      <w:r w:rsidRPr="00C230AF">
        <w:rPr>
          <w:sz w:val="20"/>
          <w:szCs w:val="20"/>
        </w:rPr>
        <w:t xml:space="preserve"> the </w:t>
      </w:r>
      <w:r w:rsidR="00C90E0A">
        <w:rPr>
          <w:sz w:val="20"/>
          <w:szCs w:val="20"/>
        </w:rPr>
        <w:t xml:space="preserve">written </w:t>
      </w:r>
      <w:r w:rsidRPr="00C230AF">
        <w:rPr>
          <w:sz w:val="20"/>
          <w:szCs w:val="20"/>
        </w:rPr>
        <w:t>offer of employment</w:t>
      </w:r>
      <w:r w:rsidR="002B3E21">
        <w:rPr>
          <w:sz w:val="20"/>
          <w:szCs w:val="20"/>
        </w:rPr>
        <w:t>;</w:t>
      </w:r>
      <w:r w:rsidRPr="00C230AF">
        <w:rPr>
          <w:sz w:val="20"/>
          <w:szCs w:val="20"/>
        </w:rPr>
        <w:t xml:space="preserve"> </w:t>
      </w:r>
    </w:p>
    <w:p w:rsidR="00346C95" w:rsidRPr="00C230AF" w:rsidRDefault="00E1615E" w:rsidP="00C230AF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Extraordinary items requiring special handing and/or packing, such </w:t>
      </w:r>
      <w:r w:rsidR="00A71332">
        <w:rPr>
          <w:sz w:val="20"/>
          <w:szCs w:val="20"/>
        </w:rPr>
        <w:t xml:space="preserve">as </w:t>
      </w:r>
      <w:r w:rsidR="00A71332" w:rsidRPr="00C230AF">
        <w:rPr>
          <w:sz w:val="20"/>
          <w:szCs w:val="20"/>
        </w:rPr>
        <w:t>a</w:t>
      </w:r>
      <w:r w:rsidR="00346C95" w:rsidRPr="00C230AF">
        <w:rPr>
          <w:sz w:val="20"/>
          <w:szCs w:val="20"/>
        </w:rPr>
        <w:t xml:space="preserve"> boat</w:t>
      </w:r>
      <w:r w:rsidR="002B3E21">
        <w:rPr>
          <w:sz w:val="20"/>
          <w:szCs w:val="20"/>
        </w:rPr>
        <w:t>;</w:t>
      </w:r>
      <w:r w:rsidR="00346C95" w:rsidRPr="00C230AF">
        <w:rPr>
          <w:sz w:val="20"/>
          <w:szCs w:val="20"/>
        </w:rPr>
        <w:t xml:space="preserve"> </w:t>
      </w:r>
    </w:p>
    <w:p w:rsidR="00837D44" w:rsidRDefault="00346C95" w:rsidP="006F6BF7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 w:rsidRPr="00C230AF">
        <w:rPr>
          <w:sz w:val="20"/>
          <w:szCs w:val="20"/>
        </w:rPr>
        <w:t>Real estate transaction costs; lease termination fees</w:t>
      </w:r>
      <w:r w:rsidR="002B3E21">
        <w:rPr>
          <w:sz w:val="20"/>
          <w:szCs w:val="20"/>
        </w:rPr>
        <w:t>;</w:t>
      </w:r>
    </w:p>
    <w:p w:rsidR="0020415B" w:rsidRDefault="0020415B" w:rsidP="006F6BF7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Any entertainment expense</w:t>
      </w:r>
      <w:r w:rsidR="002B3E21">
        <w:rPr>
          <w:sz w:val="20"/>
          <w:szCs w:val="20"/>
        </w:rPr>
        <w:t>;</w:t>
      </w:r>
    </w:p>
    <w:p w:rsidR="0011370E" w:rsidRPr="0011370E" w:rsidRDefault="008557F7" w:rsidP="0011370E">
      <w:pPr>
        <w:pStyle w:val="ListParagraph"/>
        <w:keepLines w:val="0"/>
        <w:numPr>
          <w:ilvl w:val="0"/>
          <w:numId w:val="30"/>
        </w:numPr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Any type of moving expenses not considered to be reasonable</w:t>
      </w:r>
      <w:r w:rsidR="00A71332">
        <w:rPr>
          <w:sz w:val="20"/>
          <w:szCs w:val="20"/>
        </w:rPr>
        <w:t>.</w:t>
      </w:r>
    </w:p>
    <w:p w:rsidR="00837D44" w:rsidRPr="003328BA" w:rsidRDefault="00D82546" w:rsidP="00837D44">
      <w:pPr>
        <w:pStyle w:val="Heading1"/>
      </w:pPr>
      <w:bookmarkStart w:id="14" w:name="_Toc104759794"/>
      <w:r>
        <w:lastRenderedPageBreak/>
        <w:t>Tax Obligations</w:t>
      </w:r>
      <w:bookmarkEnd w:id="14"/>
    </w:p>
    <w:p w:rsidR="00837D44" w:rsidRDefault="00837D44">
      <w:pPr>
        <w:keepLines w:val="0"/>
        <w:spacing w:after="0"/>
        <w:rPr>
          <w:rFonts w:ascii="Tahoma" w:eastAsia="Times New Roman" w:hAnsi="Tahoma"/>
          <w:b/>
          <w:color w:val="365F91"/>
          <w:szCs w:val="28"/>
        </w:rPr>
      </w:pPr>
    </w:p>
    <w:p w:rsidR="00837D44" w:rsidRDefault="007B75CC" w:rsidP="00837D44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accordance with IRS regulations </w:t>
      </w:r>
      <w:r w:rsidR="00837D44">
        <w:rPr>
          <w:sz w:val="20"/>
          <w:szCs w:val="20"/>
        </w:rPr>
        <w:t>effective January 1, 2018</w:t>
      </w:r>
      <w:r>
        <w:rPr>
          <w:sz w:val="20"/>
          <w:szCs w:val="20"/>
        </w:rPr>
        <w:t xml:space="preserve">, all employee </w:t>
      </w:r>
      <w:r w:rsidR="00A50783">
        <w:rPr>
          <w:sz w:val="20"/>
          <w:szCs w:val="20"/>
        </w:rPr>
        <w:t xml:space="preserve">moving and </w:t>
      </w:r>
      <w:r w:rsidR="00044685">
        <w:rPr>
          <w:sz w:val="20"/>
          <w:szCs w:val="20"/>
        </w:rPr>
        <w:t>relocation</w:t>
      </w:r>
      <w:r>
        <w:rPr>
          <w:sz w:val="20"/>
          <w:szCs w:val="20"/>
        </w:rPr>
        <w:t xml:space="preserve"> expenses are considered taxable</w:t>
      </w:r>
      <w:r w:rsidR="00837D44">
        <w:rPr>
          <w:sz w:val="20"/>
          <w:szCs w:val="20"/>
        </w:rPr>
        <w:t xml:space="preserve">. </w:t>
      </w:r>
      <w:r w:rsidR="00837D44" w:rsidRPr="00346C95">
        <w:rPr>
          <w:sz w:val="20"/>
          <w:szCs w:val="20"/>
        </w:rPr>
        <w:t>F</w:t>
      </w:r>
      <w:r w:rsidR="00852E64">
        <w:rPr>
          <w:sz w:val="20"/>
          <w:szCs w:val="20"/>
        </w:rPr>
        <w:t>ederal and State Income taxes</w:t>
      </w:r>
      <w:r w:rsidR="00EC3936">
        <w:rPr>
          <w:sz w:val="20"/>
          <w:szCs w:val="20"/>
        </w:rPr>
        <w:t xml:space="preserve"> and</w:t>
      </w:r>
      <w:r w:rsidR="00852E64">
        <w:rPr>
          <w:sz w:val="20"/>
          <w:szCs w:val="20"/>
        </w:rPr>
        <w:t xml:space="preserve"> Social S</w:t>
      </w:r>
      <w:r w:rsidR="00837D44" w:rsidRPr="00346C95">
        <w:rPr>
          <w:sz w:val="20"/>
          <w:szCs w:val="20"/>
        </w:rPr>
        <w:t>ecurity and Medicare taxes related to</w:t>
      </w:r>
      <w:r w:rsidR="00420EBB">
        <w:rPr>
          <w:sz w:val="20"/>
          <w:szCs w:val="20"/>
        </w:rPr>
        <w:t xml:space="preserve"> the</w:t>
      </w:r>
      <w:r w:rsidR="00837D44" w:rsidRPr="00346C95">
        <w:rPr>
          <w:sz w:val="20"/>
          <w:szCs w:val="20"/>
        </w:rPr>
        <w:t xml:space="preserve"> </w:t>
      </w:r>
      <w:r w:rsidR="00A50783">
        <w:rPr>
          <w:sz w:val="20"/>
          <w:szCs w:val="20"/>
        </w:rPr>
        <w:t>payment</w:t>
      </w:r>
      <w:r w:rsidR="00420EBB">
        <w:rPr>
          <w:sz w:val="20"/>
          <w:szCs w:val="20"/>
        </w:rPr>
        <w:t xml:space="preserve"> of</w:t>
      </w:r>
      <w:r w:rsidR="00EC3936">
        <w:rPr>
          <w:sz w:val="20"/>
          <w:szCs w:val="20"/>
        </w:rPr>
        <w:t xml:space="preserve"> moving and relocation expenses</w:t>
      </w:r>
      <w:r w:rsidR="00837D44" w:rsidRPr="00346C95">
        <w:rPr>
          <w:sz w:val="20"/>
          <w:szCs w:val="20"/>
        </w:rPr>
        <w:t xml:space="preserve"> will be withheld from a future paycheck. </w:t>
      </w:r>
      <w:r w:rsidR="00837D44">
        <w:rPr>
          <w:sz w:val="20"/>
          <w:szCs w:val="20"/>
        </w:rPr>
        <w:t xml:space="preserve">Payments made directly to </w:t>
      </w:r>
      <w:r w:rsidR="00EC3936">
        <w:rPr>
          <w:sz w:val="20"/>
          <w:szCs w:val="20"/>
        </w:rPr>
        <w:t xml:space="preserve">the </w:t>
      </w:r>
      <w:r w:rsidR="00837D44">
        <w:rPr>
          <w:sz w:val="20"/>
          <w:szCs w:val="20"/>
        </w:rPr>
        <w:t>moving carrier will be reported as taxable income to the employee.</w:t>
      </w:r>
      <w:r w:rsidR="00EC3936">
        <w:rPr>
          <w:sz w:val="20"/>
          <w:szCs w:val="20"/>
        </w:rPr>
        <w:t xml:space="preserve"> Subject to the provisions of these Procedures, the following table summarizes the income taxability of certain relocation expenses:</w:t>
      </w:r>
    </w:p>
    <w:p w:rsidR="00D82546" w:rsidRDefault="00D82546" w:rsidP="00837D44">
      <w:pPr>
        <w:keepLines w:val="0"/>
        <w:autoSpaceDE w:val="0"/>
        <w:autoSpaceDN w:val="0"/>
        <w:adjustRightInd w:val="0"/>
        <w:spacing w:before="200" w:after="0"/>
        <w:jc w:val="both"/>
        <w:rPr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</w:tblGrid>
      <w:tr w:rsidR="00C230AF" w:rsidRPr="00C230AF" w:rsidTr="006A2F19"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b/>
                <w:bCs/>
                <w:sz w:val="20"/>
                <w:szCs w:val="20"/>
              </w:rPr>
              <w:t>Taxable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Moving household goods</w:t>
            </w:r>
            <w:r w:rsidR="00CC3D6C">
              <w:rPr>
                <w:rFonts w:eastAsia="Times New Roman"/>
                <w:sz w:val="20"/>
                <w:szCs w:val="20"/>
              </w:rPr>
              <w:t xml:space="preserve"> and</w:t>
            </w:r>
            <w:r w:rsidRPr="00C230AF">
              <w:rPr>
                <w:rFonts w:eastAsia="Times New Roman"/>
                <w:sz w:val="20"/>
                <w:szCs w:val="20"/>
              </w:rPr>
              <w:t xml:space="preserve"> personal effects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C230A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Storage and insurance for </w:t>
            </w:r>
            <w:r w:rsidR="00C51867">
              <w:rPr>
                <w:rFonts w:eastAsia="Times New Roman"/>
                <w:sz w:val="20"/>
                <w:szCs w:val="20"/>
              </w:rPr>
              <w:t>thirty (</w:t>
            </w:r>
            <w:r w:rsidRPr="00C230AF">
              <w:rPr>
                <w:rFonts w:eastAsia="Times New Roman"/>
                <w:sz w:val="20"/>
                <w:szCs w:val="20"/>
              </w:rPr>
              <w:t>30</w:t>
            </w:r>
            <w:r w:rsidR="00C51867">
              <w:rPr>
                <w:rFonts w:eastAsia="Times New Roman"/>
                <w:sz w:val="20"/>
                <w:szCs w:val="20"/>
              </w:rPr>
              <w:t>)</w:t>
            </w:r>
            <w:r w:rsidRPr="00C230AF">
              <w:rPr>
                <w:rFonts w:eastAsia="Times New Roman"/>
                <w:sz w:val="20"/>
                <w:szCs w:val="20"/>
              </w:rPr>
              <w:t xml:space="preserve"> days 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AF" w:rsidRPr="00C230AF" w:rsidRDefault="00C230AF" w:rsidP="0069466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Storage and insurance for an additional </w:t>
            </w:r>
            <w:r w:rsidR="00A16344">
              <w:rPr>
                <w:rFonts w:eastAsia="Times New Roman"/>
                <w:sz w:val="20"/>
                <w:szCs w:val="20"/>
              </w:rPr>
              <w:t>thirty (</w:t>
            </w:r>
            <w:r w:rsidRPr="00C230AF">
              <w:rPr>
                <w:rFonts w:eastAsia="Times New Roman"/>
                <w:sz w:val="20"/>
                <w:szCs w:val="20"/>
              </w:rPr>
              <w:t>30</w:t>
            </w:r>
            <w:r w:rsidR="00A16344">
              <w:rPr>
                <w:rFonts w:eastAsia="Times New Roman"/>
                <w:sz w:val="20"/>
                <w:szCs w:val="20"/>
              </w:rPr>
              <w:t>)</w:t>
            </w:r>
            <w:r w:rsidRPr="00C230AF">
              <w:rPr>
                <w:rFonts w:eastAsia="Times New Roman"/>
                <w:sz w:val="20"/>
                <w:szCs w:val="20"/>
              </w:rPr>
              <w:t xml:space="preserve"> days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Employee and household members’ air transportation</w:t>
            </w:r>
            <w:r w:rsidR="00CC3D6C">
              <w:rPr>
                <w:rFonts w:eastAsia="Times New Roman"/>
                <w:sz w:val="20"/>
                <w:szCs w:val="20"/>
              </w:rPr>
              <w:t xml:space="preserve"> on direct route to new location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C230A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Mileage at IRS rate for home moves  and additional mileage factor up to NMT’s business travel rate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Actual fuel and oil cost for vehicle </w:t>
            </w:r>
            <w:r w:rsidR="00CC3D6C">
              <w:rPr>
                <w:rFonts w:eastAsia="Times New Roman"/>
                <w:sz w:val="20"/>
                <w:szCs w:val="20"/>
              </w:rPr>
              <w:t>used in move on the direct route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976E9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Parking fees and tolls </w:t>
            </w:r>
            <w:r w:rsidR="00976E92">
              <w:rPr>
                <w:rFonts w:eastAsia="Times New Roman"/>
                <w:sz w:val="20"/>
                <w:szCs w:val="20"/>
              </w:rPr>
              <w:t>on the direct r</w:t>
            </w:r>
            <w:r w:rsidRPr="00C230AF">
              <w:rPr>
                <w:rFonts w:eastAsia="Times New Roman"/>
                <w:sz w:val="20"/>
                <w:szCs w:val="20"/>
              </w:rPr>
              <w:t>oute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Auto shipping fees 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976E92" w:rsidP="0069466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Meals and incidental expenses </w:t>
            </w:r>
            <w:r w:rsidR="00416636">
              <w:rPr>
                <w:rFonts w:eastAsia="Times New Roman"/>
                <w:sz w:val="20"/>
                <w:szCs w:val="20"/>
              </w:rPr>
              <w:t>on the direct r</w:t>
            </w:r>
            <w:r w:rsidR="00416636" w:rsidRPr="00C230AF">
              <w:rPr>
                <w:rFonts w:eastAsia="Times New Roman"/>
                <w:sz w:val="20"/>
                <w:szCs w:val="20"/>
              </w:rPr>
              <w:t>oute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CC3D6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Rental vehicle </w:t>
            </w:r>
            <w:r w:rsidR="00CC3D6C">
              <w:rPr>
                <w:rFonts w:eastAsia="Times New Roman"/>
                <w:sz w:val="20"/>
                <w:szCs w:val="20"/>
              </w:rPr>
              <w:t xml:space="preserve">fees </w:t>
            </w:r>
            <w:r w:rsidRPr="00C230AF">
              <w:rPr>
                <w:rFonts w:eastAsia="Times New Roman"/>
                <w:sz w:val="20"/>
                <w:szCs w:val="20"/>
              </w:rPr>
              <w:t xml:space="preserve">from former home </w:t>
            </w:r>
            <w:r w:rsidR="00CC3D6C">
              <w:rPr>
                <w:rFonts w:eastAsia="Times New Roman"/>
                <w:sz w:val="20"/>
                <w:szCs w:val="20"/>
              </w:rPr>
              <w:t xml:space="preserve">on direct route </w:t>
            </w:r>
            <w:r w:rsidRPr="00C230AF">
              <w:rPr>
                <w:rFonts w:eastAsia="Times New Roman"/>
                <w:sz w:val="20"/>
                <w:szCs w:val="20"/>
              </w:rPr>
              <w:t xml:space="preserve">to new home and/or </w:t>
            </w:r>
            <w:r w:rsidR="00CC3D6C">
              <w:rPr>
                <w:rFonts w:eastAsia="Times New Roman"/>
                <w:sz w:val="20"/>
                <w:szCs w:val="20"/>
              </w:rPr>
              <w:t>r</w:t>
            </w:r>
            <w:r w:rsidRPr="00C230AF">
              <w:rPr>
                <w:rFonts w:eastAsia="Times New Roman"/>
                <w:sz w:val="20"/>
                <w:szCs w:val="20"/>
              </w:rPr>
              <w:t xml:space="preserve">ental </w:t>
            </w:r>
            <w:r w:rsidR="00CC3D6C">
              <w:rPr>
                <w:rFonts w:eastAsia="Times New Roman"/>
                <w:sz w:val="20"/>
                <w:szCs w:val="20"/>
              </w:rPr>
              <w:t xml:space="preserve">fees for </w:t>
            </w:r>
            <w:r w:rsidRPr="00C230AF">
              <w:rPr>
                <w:rFonts w:eastAsia="Times New Roman"/>
                <w:sz w:val="20"/>
                <w:szCs w:val="20"/>
              </w:rPr>
              <w:t>vehicle used at new home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CC3D6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Lodging </w:t>
            </w:r>
            <w:r w:rsidR="00416636">
              <w:rPr>
                <w:rFonts w:eastAsia="Times New Roman"/>
                <w:sz w:val="20"/>
                <w:szCs w:val="20"/>
              </w:rPr>
              <w:t>on the direct r</w:t>
            </w:r>
            <w:r w:rsidR="00416636" w:rsidRPr="00C230AF">
              <w:rPr>
                <w:rFonts w:eastAsia="Times New Roman"/>
                <w:sz w:val="20"/>
                <w:szCs w:val="20"/>
              </w:rPr>
              <w:t>oute</w:t>
            </w:r>
            <w:r w:rsidRPr="00C230AF">
              <w:rPr>
                <w:rFonts w:eastAsia="Times New Roman"/>
                <w:sz w:val="20"/>
                <w:szCs w:val="20"/>
              </w:rPr>
              <w:t xml:space="preserve"> and/or </w:t>
            </w:r>
            <w:r w:rsidR="00CC3D6C">
              <w:rPr>
                <w:rFonts w:eastAsia="Times New Roman"/>
                <w:sz w:val="20"/>
                <w:szCs w:val="20"/>
              </w:rPr>
              <w:t>v</w:t>
            </w:r>
            <w:r w:rsidRPr="00C230AF">
              <w:rPr>
                <w:rFonts w:eastAsia="Times New Roman"/>
                <w:sz w:val="20"/>
                <w:szCs w:val="20"/>
              </w:rPr>
              <w:t xml:space="preserve">alue of </w:t>
            </w:r>
            <w:r w:rsidR="00CC3D6C">
              <w:rPr>
                <w:rFonts w:eastAsia="Times New Roman"/>
                <w:sz w:val="20"/>
                <w:szCs w:val="20"/>
              </w:rPr>
              <w:t xml:space="preserve">such </w:t>
            </w:r>
            <w:r w:rsidRPr="00C230AF">
              <w:rPr>
                <w:rFonts w:eastAsia="Times New Roman"/>
                <w:sz w:val="20"/>
                <w:szCs w:val="20"/>
              </w:rPr>
              <w:t xml:space="preserve">lodging with friend </w:t>
            </w:r>
            <w:r w:rsidR="00CC3D6C">
              <w:rPr>
                <w:rFonts w:eastAsia="Times New Roman"/>
                <w:sz w:val="20"/>
                <w:szCs w:val="20"/>
              </w:rPr>
              <w:t xml:space="preserve">or relative </w:t>
            </w:r>
            <w:r w:rsidR="00416636">
              <w:rPr>
                <w:rFonts w:eastAsia="Times New Roman"/>
                <w:sz w:val="20"/>
                <w:szCs w:val="20"/>
              </w:rPr>
              <w:t>on the direct r</w:t>
            </w:r>
            <w:r w:rsidR="00416636" w:rsidRPr="00C230AF">
              <w:rPr>
                <w:rFonts w:eastAsia="Times New Roman"/>
                <w:sz w:val="20"/>
                <w:szCs w:val="20"/>
              </w:rPr>
              <w:t>oute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>Temporary lodging at new location</w:t>
            </w: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AF" w:rsidRPr="00C230AF" w:rsidRDefault="00C230AF" w:rsidP="0069466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C230AF" w:rsidRPr="00C230AF" w:rsidTr="006A2F19"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AF" w:rsidRPr="00C230AF" w:rsidRDefault="00C230AF" w:rsidP="0069466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C230AF">
              <w:rPr>
                <w:rFonts w:eastAsia="Times New Roman"/>
                <w:sz w:val="20"/>
                <w:szCs w:val="20"/>
              </w:rPr>
              <w:t xml:space="preserve">Transportation, lodging, </w:t>
            </w:r>
            <w:r w:rsidR="00CC3D6C">
              <w:rPr>
                <w:rFonts w:eastAsia="Times New Roman"/>
                <w:sz w:val="20"/>
                <w:szCs w:val="20"/>
              </w:rPr>
              <w:t xml:space="preserve">and </w:t>
            </w:r>
            <w:r w:rsidRPr="00C230AF">
              <w:rPr>
                <w:rFonts w:eastAsia="Times New Roman"/>
                <w:sz w:val="20"/>
                <w:szCs w:val="20"/>
              </w:rPr>
              <w:t xml:space="preserve">meals during </w:t>
            </w:r>
            <w:r w:rsidR="00CC3D6C">
              <w:rPr>
                <w:rFonts w:eastAsia="Times New Roman"/>
                <w:sz w:val="20"/>
                <w:szCs w:val="20"/>
              </w:rPr>
              <w:t xml:space="preserve">a </w:t>
            </w:r>
            <w:r w:rsidRPr="00C230AF">
              <w:rPr>
                <w:rFonts w:eastAsia="Times New Roman"/>
                <w:sz w:val="20"/>
                <w:szCs w:val="20"/>
              </w:rPr>
              <w:t>house</w:t>
            </w:r>
            <w:r w:rsidR="00CC3D6C">
              <w:rPr>
                <w:rFonts w:eastAsia="Times New Roman"/>
                <w:sz w:val="20"/>
                <w:szCs w:val="20"/>
              </w:rPr>
              <w:t>-</w:t>
            </w:r>
            <w:r w:rsidRPr="00C230AF">
              <w:rPr>
                <w:rFonts w:eastAsia="Times New Roman"/>
                <w:sz w:val="20"/>
                <w:szCs w:val="20"/>
              </w:rPr>
              <w:t>hunting trip</w:t>
            </w:r>
          </w:p>
        </w:tc>
      </w:tr>
    </w:tbl>
    <w:p w:rsidR="00D82546" w:rsidRPr="003328BA" w:rsidRDefault="00D82546" w:rsidP="00D82546">
      <w:pPr>
        <w:pStyle w:val="Heading1"/>
      </w:pPr>
      <w:bookmarkStart w:id="15" w:name="_Toc104759795"/>
      <w:r>
        <w:lastRenderedPageBreak/>
        <w:t>Sponsored Projects</w:t>
      </w:r>
      <w:bookmarkEnd w:id="15"/>
    </w:p>
    <w:p w:rsidR="003F0D8A" w:rsidRDefault="002E2D67" w:rsidP="006F6BF7">
      <w:pPr>
        <w:keepLines w:val="0"/>
        <w:autoSpaceDE w:val="0"/>
        <w:autoSpaceDN w:val="0"/>
        <w:adjustRightInd w:val="0"/>
        <w:spacing w:before="200" w:after="200"/>
        <w:jc w:val="both"/>
        <w:rPr>
          <w:rFonts w:eastAsia="Times New Roman" w:cs="LFJEOP+TimesNewRoman"/>
          <w:color w:val="000000"/>
          <w:sz w:val="20"/>
          <w:szCs w:val="20"/>
        </w:rPr>
      </w:pPr>
      <w:r>
        <w:rPr>
          <w:sz w:val="20"/>
          <w:szCs w:val="20"/>
        </w:rPr>
        <w:t xml:space="preserve">If </w:t>
      </w:r>
      <w:r w:rsidR="00050B48">
        <w:rPr>
          <w:sz w:val="20"/>
          <w:szCs w:val="20"/>
        </w:rPr>
        <w:t>t</w:t>
      </w:r>
      <w:r w:rsidR="00CE5EF5">
        <w:rPr>
          <w:sz w:val="20"/>
          <w:szCs w:val="20"/>
        </w:rPr>
        <w:t>he provisions of the</w:t>
      </w:r>
      <w:r>
        <w:rPr>
          <w:sz w:val="20"/>
          <w:szCs w:val="20"/>
        </w:rPr>
        <w:t xml:space="preserve"> applicable</w:t>
      </w:r>
      <w:r w:rsidR="00CE5EF5">
        <w:rPr>
          <w:sz w:val="20"/>
          <w:szCs w:val="20"/>
        </w:rPr>
        <w:t xml:space="preserve"> grant or contract </w:t>
      </w:r>
      <w:r>
        <w:rPr>
          <w:sz w:val="20"/>
          <w:szCs w:val="20"/>
        </w:rPr>
        <w:t xml:space="preserve">for a sponsored project </w:t>
      </w:r>
      <w:r w:rsidR="00CE5EF5">
        <w:rPr>
          <w:sz w:val="20"/>
          <w:szCs w:val="20"/>
        </w:rPr>
        <w:t>place greater restriction</w:t>
      </w:r>
      <w:r>
        <w:rPr>
          <w:sz w:val="20"/>
          <w:szCs w:val="20"/>
        </w:rPr>
        <w:t>s</w:t>
      </w:r>
      <w:r w:rsidR="00CE5EF5">
        <w:rPr>
          <w:sz w:val="20"/>
          <w:szCs w:val="20"/>
        </w:rPr>
        <w:t xml:space="preserve"> on allowances for moving and relocation expenses than NMT policy and procedures as defined herein, such </w:t>
      </w:r>
      <w:r>
        <w:rPr>
          <w:sz w:val="20"/>
          <w:szCs w:val="20"/>
        </w:rPr>
        <w:t xml:space="preserve">greater </w:t>
      </w:r>
      <w:r w:rsidR="00CE5EF5">
        <w:rPr>
          <w:sz w:val="20"/>
          <w:szCs w:val="20"/>
        </w:rPr>
        <w:t xml:space="preserve">restrictions shall prevail. </w:t>
      </w:r>
      <w:r w:rsidR="00B760ED">
        <w:rPr>
          <w:rFonts w:eastAsia="Times New Roman" w:cs="LFJEOP+TimesNewRoman"/>
          <w:sz w:val="20"/>
          <w:szCs w:val="20"/>
        </w:rPr>
        <w:t>The</w:t>
      </w:r>
      <w:r>
        <w:rPr>
          <w:rFonts w:eastAsia="Times New Roman" w:cs="LFJEOP+TimesNewRoman"/>
          <w:sz w:val="20"/>
          <w:szCs w:val="20"/>
        </w:rPr>
        <w:t xml:space="preserve"> new employee</w:t>
      </w:r>
      <w:r w:rsidR="008A5893">
        <w:rPr>
          <w:rFonts w:eastAsia="Times New Roman" w:cs="LFJEOP+TimesNewRoman"/>
          <w:sz w:val="20"/>
          <w:szCs w:val="20"/>
        </w:rPr>
        <w:t>,</w:t>
      </w:r>
      <w:r w:rsidR="00B760ED">
        <w:rPr>
          <w:rFonts w:eastAsia="Times New Roman" w:cs="LFJEOP+TimesNewRoman"/>
          <w:sz w:val="20"/>
          <w:szCs w:val="20"/>
        </w:rPr>
        <w:t xml:space="preserve"> even if</w:t>
      </w:r>
      <w:r w:rsidR="00E56A77">
        <w:rPr>
          <w:rFonts w:eastAsia="Times New Roman" w:cs="LFJEOP+TimesNewRoman"/>
          <w:sz w:val="20"/>
          <w:szCs w:val="20"/>
        </w:rPr>
        <w:t xml:space="preserve"> one</w:t>
      </w:r>
      <w:r w:rsidR="00B760ED">
        <w:rPr>
          <w:rFonts w:eastAsia="Times New Roman" w:cs="LFJEOP+TimesNewRoman"/>
          <w:sz w:val="20"/>
          <w:szCs w:val="20"/>
        </w:rPr>
        <w:t xml:space="preserve"> received an advance </w:t>
      </w:r>
      <w:r w:rsidR="00800A21">
        <w:rPr>
          <w:rFonts w:eastAsia="Times New Roman" w:cs="LFJEOP+TimesNewRoman"/>
          <w:sz w:val="20"/>
          <w:szCs w:val="20"/>
        </w:rPr>
        <w:t xml:space="preserve">moving and relocation expense </w:t>
      </w:r>
      <w:r w:rsidR="00B760ED">
        <w:rPr>
          <w:rFonts w:eastAsia="Times New Roman" w:cs="LFJEOP+TimesNewRoman"/>
          <w:sz w:val="20"/>
          <w:szCs w:val="20"/>
        </w:rPr>
        <w:t>payment</w:t>
      </w:r>
      <w:r w:rsidR="008A5893">
        <w:rPr>
          <w:rFonts w:eastAsia="Times New Roman" w:cs="LFJEOP+TimesNewRoman"/>
          <w:sz w:val="20"/>
          <w:szCs w:val="20"/>
        </w:rPr>
        <w:t>,</w:t>
      </w:r>
      <w:r w:rsidR="00B760ED">
        <w:rPr>
          <w:rFonts w:eastAsia="Times New Roman" w:cs="LFJEOP+TimesNewRoman"/>
          <w:sz w:val="20"/>
          <w:szCs w:val="20"/>
        </w:rPr>
        <w:t xml:space="preserve"> will work with the Payroll Office to complete the Moving Expense Worksheet w</w:t>
      </w:r>
      <w:r w:rsidR="00A81D00">
        <w:rPr>
          <w:rFonts w:eastAsia="Times New Roman" w:cs="LFJEOP+TimesNewRoman"/>
          <w:sz w:val="20"/>
          <w:szCs w:val="20"/>
        </w:rPr>
        <w:t>ithin 6</w:t>
      </w:r>
      <w:r w:rsidR="00B760ED" w:rsidRPr="00346C95">
        <w:rPr>
          <w:rFonts w:eastAsia="Times New Roman" w:cs="LFJEOP+TimesNewRoman"/>
          <w:sz w:val="20"/>
          <w:szCs w:val="20"/>
        </w:rPr>
        <w:t xml:space="preserve">0 </w:t>
      </w:r>
      <w:r w:rsidR="00B760ED">
        <w:rPr>
          <w:rFonts w:eastAsia="Times New Roman" w:cs="LFJEOP+TimesNewRoman"/>
          <w:sz w:val="20"/>
          <w:szCs w:val="20"/>
        </w:rPr>
        <w:t xml:space="preserve">calendar </w:t>
      </w:r>
      <w:r w:rsidR="00B760ED" w:rsidRPr="00346C95">
        <w:rPr>
          <w:rFonts w:eastAsia="Times New Roman" w:cs="LFJEOP+TimesNewRoman"/>
          <w:sz w:val="20"/>
          <w:szCs w:val="20"/>
        </w:rPr>
        <w:t xml:space="preserve">days after the check </w:t>
      </w:r>
      <w:r w:rsidR="00800A21">
        <w:rPr>
          <w:rFonts w:eastAsia="Times New Roman" w:cs="LFJEOP+TimesNewRoman"/>
          <w:sz w:val="20"/>
          <w:szCs w:val="20"/>
        </w:rPr>
        <w:t xml:space="preserve">for the payment </w:t>
      </w:r>
      <w:r w:rsidR="00B760ED">
        <w:rPr>
          <w:rFonts w:eastAsia="Times New Roman" w:cs="LFJEOP+TimesNewRoman"/>
          <w:sz w:val="20"/>
          <w:szCs w:val="20"/>
        </w:rPr>
        <w:t>is</w:t>
      </w:r>
      <w:r w:rsidR="00B760ED" w:rsidRPr="00346C95">
        <w:rPr>
          <w:rFonts w:eastAsia="Times New Roman" w:cs="LFJEOP+TimesNewRoman"/>
          <w:sz w:val="20"/>
          <w:szCs w:val="20"/>
        </w:rPr>
        <w:t xml:space="preserve"> issued</w:t>
      </w:r>
      <w:r w:rsidR="00800A21">
        <w:rPr>
          <w:rFonts w:eastAsia="Times New Roman" w:cs="LFJEOP+TimesNewRoman"/>
          <w:sz w:val="20"/>
          <w:szCs w:val="20"/>
        </w:rPr>
        <w:t xml:space="preserve"> to</w:t>
      </w:r>
      <w:r w:rsidR="00736EBC">
        <w:rPr>
          <w:rFonts w:eastAsia="Times New Roman" w:cs="LFJEOP+TimesNewRoman"/>
          <w:sz w:val="20"/>
          <w:szCs w:val="20"/>
        </w:rPr>
        <w:t xml:space="preserve"> the new employee</w:t>
      </w:r>
      <w:r w:rsidR="00B760ED">
        <w:rPr>
          <w:rFonts w:eastAsia="Times New Roman" w:cs="LFJEOP+TimesNewRoman"/>
          <w:sz w:val="20"/>
          <w:szCs w:val="20"/>
        </w:rPr>
        <w:t>,</w:t>
      </w:r>
      <w:r w:rsidR="00B760ED" w:rsidRPr="00346C95">
        <w:rPr>
          <w:rFonts w:eastAsia="Times New Roman" w:cs="LFJEOP+TimesNewRoman"/>
          <w:sz w:val="20"/>
          <w:szCs w:val="20"/>
        </w:rPr>
        <w:t xml:space="preserve"> or no later than the timing allowed under the IRS guideline for an accountable plan. </w:t>
      </w:r>
      <w:r w:rsidR="00B760ED">
        <w:rPr>
          <w:rFonts w:eastAsia="Times New Roman" w:cs="LFJEOP+TimesNewRoman"/>
          <w:sz w:val="20"/>
          <w:szCs w:val="20"/>
        </w:rPr>
        <w:t>All s</w:t>
      </w:r>
      <w:r w:rsidR="00B760ED">
        <w:rPr>
          <w:rFonts w:eastAsia="Times New Roman" w:cs="LFJEOP+TimesNewRoman"/>
          <w:color w:val="000000"/>
          <w:sz w:val="20"/>
          <w:szCs w:val="20"/>
        </w:rPr>
        <w:t>upporting documentati</w:t>
      </w:r>
      <w:r w:rsidR="006A2F19">
        <w:rPr>
          <w:rFonts w:eastAsia="Times New Roman" w:cs="LFJEOP+TimesNewRoman"/>
          <w:color w:val="000000"/>
          <w:sz w:val="20"/>
          <w:szCs w:val="20"/>
        </w:rPr>
        <w:t xml:space="preserve">on, including the offer letter </w:t>
      </w:r>
      <w:r w:rsidR="00B760ED">
        <w:rPr>
          <w:rFonts w:eastAsia="Times New Roman" w:cs="LFJEOP+TimesNewRoman"/>
          <w:color w:val="000000"/>
          <w:sz w:val="20"/>
          <w:szCs w:val="20"/>
        </w:rPr>
        <w:t xml:space="preserve">and </w:t>
      </w:r>
      <w:r w:rsidR="00B760ED" w:rsidRPr="00346C95">
        <w:rPr>
          <w:rFonts w:eastAsia="Times New Roman" w:cs="LFJEOP+TimesNewRoman"/>
          <w:color w:val="000000"/>
          <w:sz w:val="20"/>
          <w:szCs w:val="20"/>
        </w:rPr>
        <w:t>receipts</w:t>
      </w:r>
      <w:r w:rsidR="00B760ED">
        <w:rPr>
          <w:rFonts w:eastAsia="Times New Roman" w:cs="LFJEOP+TimesNewRoman"/>
          <w:color w:val="000000"/>
          <w:sz w:val="20"/>
          <w:szCs w:val="20"/>
        </w:rPr>
        <w:t>,</w:t>
      </w:r>
      <w:r w:rsidR="00B760ED" w:rsidRPr="00346C95">
        <w:rPr>
          <w:rFonts w:eastAsia="Times New Roman" w:cs="LFJEOP+TimesNewRoman"/>
          <w:color w:val="000000"/>
          <w:sz w:val="20"/>
          <w:szCs w:val="20"/>
        </w:rPr>
        <w:t xml:space="preserve"> must be</w:t>
      </w:r>
      <w:r w:rsidR="00B760ED">
        <w:rPr>
          <w:rFonts w:eastAsia="Times New Roman" w:cs="LFJEOP+TimesNewRoman"/>
          <w:color w:val="000000"/>
          <w:sz w:val="20"/>
          <w:szCs w:val="20"/>
        </w:rPr>
        <w:t xml:space="preserve"> provided to the Payroll Office documenting </w:t>
      </w:r>
      <w:r w:rsidR="00992255">
        <w:rPr>
          <w:rFonts w:eastAsia="Times New Roman" w:cs="LFJEOP+TimesNewRoman"/>
          <w:color w:val="000000"/>
          <w:sz w:val="20"/>
          <w:szCs w:val="20"/>
        </w:rPr>
        <w:t xml:space="preserve">that </w:t>
      </w:r>
      <w:r w:rsidR="009D016A">
        <w:rPr>
          <w:rFonts w:eastAsia="Times New Roman" w:cs="LFJEOP+TimesNewRoman"/>
          <w:color w:val="000000"/>
          <w:sz w:val="20"/>
          <w:szCs w:val="20"/>
        </w:rPr>
        <w:t>the move occurred in the allowable</w:t>
      </w:r>
      <w:r w:rsidR="00B760ED">
        <w:rPr>
          <w:rFonts w:eastAsia="Times New Roman" w:cs="LFJEOP+TimesNewRoman"/>
          <w:color w:val="000000"/>
          <w:sz w:val="20"/>
          <w:szCs w:val="20"/>
        </w:rPr>
        <w:t xml:space="preserve"> time</w:t>
      </w:r>
      <w:r w:rsidR="006A2F19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B760ED">
        <w:rPr>
          <w:rFonts w:eastAsia="Times New Roman" w:cs="LFJEOP+TimesNewRoman"/>
          <w:color w:val="000000"/>
          <w:sz w:val="20"/>
          <w:szCs w:val="20"/>
        </w:rPr>
        <w:t>frame</w:t>
      </w:r>
      <w:r w:rsidR="00B760ED" w:rsidRPr="00346C95">
        <w:rPr>
          <w:rFonts w:eastAsia="Times New Roman" w:cs="LFJEOP+TimesNewRoman"/>
          <w:color w:val="000000"/>
          <w:sz w:val="20"/>
          <w:szCs w:val="20"/>
        </w:rPr>
        <w:t>.</w:t>
      </w:r>
      <w:r w:rsidR="00B760ED">
        <w:rPr>
          <w:rFonts w:eastAsia="Times New Roman" w:cs="LFJEOP+TimesNewRoman"/>
          <w:color w:val="000000"/>
          <w:sz w:val="20"/>
          <w:szCs w:val="20"/>
        </w:rPr>
        <w:t xml:space="preserve"> </w:t>
      </w:r>
    </w:p>
    <w:p w:rsidR="00B174F0" w:rsidRPr="00C6245A" w:rsidRDefault="00ED7C34" w:rsidP="009143D0">
      <w:pPr>
        <w:keepLines w:val="0"/>
        <w:autoSpaceDE w:val="0"/>
        <w:autoSpaceDN w:val="0"/>
        <w:adjustRightInd w:val="0"/>
        <w:spacing w:before="200" w:after="200"/>
        <w:jc w:val="both"/>
        <w:rPr>
          <w:rFonts w:eastAsia="Times New Roman" w:cs="LFJEOP+TimesNewRoman"/>
          <w:sz w:val="20"/>
          <w:szCs w:val="20"/>
        </w:rPr>
      </w:pPr>
      <w:r>
        <w:rPr>
          <w:rFonts w:eastAsia="Times New Roman" w:cs="LFJEOP+TimesNewRoman"/>
          <w:sz w:val="20"/>
          <w:szCs w:val="20"/>
        </w:rPr>
        <w:t>For</w:t>
      </w:r>
      <w:r w:rsidR="008166D1">
        <w:rPr>
          <w:rFonts w:eastAsia="Times New Roman" w:cs="LFJEOP+TimesNewRoman"/>
          <w:sz w:val="20"/>
          <w:szCs w:val="20"/>
        </w:rPr>
        <w:t xml:space="preserve"> Federal awards, u</w:t>
      </w:r>
      <w:r w:rsidR="00361885">
        <w:rPr>
          <w:rFonts w:eastAsia="Times New Roman" w:cs="LFJEOP+TimesNewRoman"/>
          <w:sz w:val="20"/>
          <w:szCs w:val="20"/>
        </w:rPr>
        <w:t xml:space="preserve">nder the guidelines imposed by the </w:t>
      </w:r>
      <w:r w:rsidR="00271900">
        <w:rPr>
          <w:rFonts w:eastAsia="Times New Roman" w:cs="LFJEOP+TimesNewRoman"/>
          <w:sz w:val="20"/>
          <w:szCs w:val="20"/>
        </w:rPr>
        <w:t xml:space="preserve">U.S. Office of Management and Budget </w:t>
      </w:r>
      <w:r w:rsidR="00AC5473">
        <w:rPr>
          <w:rFonts w:eastAsia="Times New Roman" w:cs="LFJEOP+TimesNewRoman"/>
          <w:sz w:val="20"/>
          <w:szCs w:val="20"/>
        </w:rPr>
        <w:t xml:space="preserve">(OMB) </w:t>
      </w:r>
      <w:r w:rsidR="00271900">
        <w:rPr>
          <w:rFonts w:eastAsia="Times New Roman" w:cs="LFJEOP+TimesNewRoman"/>
          <w:sz w:val="20"/>
          <w:szCs w:val="20"/>
        </w:rPr>
        <w:t>Uniform G</w:t>
      </w:r>
      <w:r w:rsidR="00361885">
        <w:rPr>
          <w:rFonts w:eastAsia="Times New Roman" w:cs="LFJEOP+TimesNewRoman"/>
          <w:sz w:val="20"/>
          <w:szCs w:val="20"/>
        </w:rPr>
        <w:t>uidance</w:t>
      </w:r>
      <w:r w:rsidR="00271900">
        <w:rPr>
          <w:rFonts w:eastAsia="Times New Roman" w:cs="LFJEOP+TimesNewRoman"/>
          <w:sz w:val="20"/>
          <w:szCs w:val="20"/>
        </w:rPr>
        <w:t xml:space="preserve"> </w:t>
      </w:r>
      <w:r w:rsidR="00361885">
        <w:rPr>
          <w:rFonts w:eastAsia="Times New Roman" w:cs="LFJEOP+TimesNewRoman"/>
          <w:sz w:val="20"/>
          <w:szCs w:val="20"/>
        </w:rPr>
        <w:t>(</w:t>
      </w:r>
      <w:r w:rsidR="00C6245A">
        <w:rPr>
          <w:sz w:val="20"/>
          <w:szCs w:val="20"/>
        </w:rPr>
        <w:t>2 CFR 200</w:t>
      </w:r>
      <w:r w:rsidR="00C6245A" w:rsidRPr="00D82546">
        <w:rPr>
          <w:sz w:val="20"/>
          <w:szCs w:val="20"/>
        </w:rPr>
        <w:t>.464</w:t>
      </w:r>
      <w:r w:rsidR="00C6245A">
        <w:rPr>
          <w:sz w:val="20"/>
          <w:szCs w:val="20"/>
        </w:rPr>
        <w:t>,</w:t>
      </w:r>
      <w:r w:rsidR="00C6245A" w:rsidRPr="00D82546">
        <w:rPr>
          <w:sz w:val="20"/>
          <w:szCs w:val="20"/>
        </w:rPr>
        <w:t xml:space="preserve"> Relocation </w:t>
      </w:r>
      <w:r w:rsidR="00C6245A">
        <w:rPr>
          <w:sz w:val="20"/>
          <w:szCs w:val="20"/>
        </w:rPr>
        <w:t>C</w:t>
      </w:r>
      <w:r w:rsidR="00C6245A" w:rsidRPr="00D82546">
        <w:rPr>
          <w:sz w:val="20"/>
          <w:szCs w:val="20"/>
        </w:rPr>
        <w:t xml:space="preserve">osts of </w:t>
      </w:r>
      <w:r w:rsidR="00C6245A">
        <w:rPr>
          <w:sz w:val="20"/>
          <w:szCs w:val="20"/>
        </w:rPr>
        <w:t>E</w:t>
      </w:r>
      <w:r w:rsidR="00C6245A" w:rsidRPr="00D82546">
        <w:rPr>
          <w:sz w:val="20"/>
          <w:szCs w:val="20"/>
        </w:rPr>
        <w:t>mployees</w:t>
      </w:r>
      <w:r w:rsidR="00361885">
        <w:rPr>
          <w:sz w:val="20"/>
          <w:szCs w:val="20"/>
        </w:rPr>
        <w:t xml:space="preserve">), </w:t>
      </w:r>
      <w:r w:rsidR="00806A4E">
        <w:rPr>
          <w:sz w:val="20"/>
          <w:szCs w:val="20"/>
        </w:rPr>
        <w:t xml:space="preserve">relocation expenses may </w:t>
      </w:r>
      <w:r w:rsidR="00992255">
        <w:rPr>
          <w:sz w:val="20"/>
          <w:szCs w:val="20"/>
        </w:rPr>
        <w:t xml:space="preserve">under certain circumstances and subject to limitations, </w:t>
      </w:r>
      <w:r w:rsidR="00806A4E">
        <w:rPr>
          <w:sz w:val="20"/>
          <w:szCs w:val="20"/>
        </w:rPr>
        <w:t>be cons</w:t>
      </w:r>
      <w:r w:rsidR="00992255">
        <w:rPr>
          <w:sz w:val="20"/>
          <w:szCs w:val="20"/>
        </w:rPr>
        <w:t xml:space="preserve">idered allowable direct charges. </w:t>
      </w:r>
    </w:p>
    <w:p w:rsidR="009143D0" w:rsidRDefault="008166D1" w:rsidP="009143D0">
      <w:pPr>
        <w:keepLines w:val="0"/>
        <w:autoSpaceDE w:val="0"/>
        <w:autoSpaceDN w:val="0"/>
        <w:adjustRightInd w:val="0"/>
        <w:spacing w:before="200" w:after="200"/>
        <w:jc w:val="both"/>
        <w:rPr>
          <w:rFonts w:cs="Arial"/>
          <w:color w:val="222222"/>
          <w:sz w:val="20"/>
          <w:szCs w:val="20"/>
        </w:rPr>
      </w:pPr>
      <w:r>
        <w:rPr>
          <w:rFonts w:cs="Arial"/>
          <w:color w:val="222222"/>
          <w:sz w:val="20"/>
          <w:szCs w:val="20"/>
        </w:rPr>
        <w:t>For Non-Federal awards, w</w:t>
      </w:r>
      <w:r w:rsidR="009143D0" w:rsidRPr="009143D0">
        <w:rPr>
          <w:rFonts w:cs="Arial"/>
          <w:color w:val="222222"/>
          <w:sz w:val="20"/>
          <w:szCs w:val="20"/>
        </w:rPr>
        <w:t>hen not allowed by Federal agen</w:t>
      </w:r>
      <w:r w:rsidR="00080322">
        <w:rPr>
          <w:rFonts w:cs="Arial"/>
          <w:color w:val="222222"/>
          <w:sz w:val="20"/>
          <w:szCs w:val="20"/>
        </w:rPr>
        <w:t>cy</w:t>
      </w:r>
      <w:r w:rsidR="009143D0" w:rsidRPr="009143D0">
        <w:rPr>
          <w:rFonts w:cs="Arial"/>
          <w:color w:val="222222"/>
          <w:sz w:val="20"/>
          <w:szCs w:val="20"/>
        </w:rPr>
        <w:t xml:space="preserve"> but allowed by the non-Federal sponsor, a written justification for the inclusion of relocation costs should be provided to ensure that the non-Federal sponsor follow</w:t>
      </w:r>
      <w:r w:rsidR="00080322">
        <w:rPr>
          <w:rFonts w:cs="Arial"/>
          <w:color w:val="222222"/>
          <w:sz w:val="20"/>
          <w:szCs w:val="20"/>
        </w:rPr>
        <w:t>s</w:t>
      </w:r>
      <w:r w:rsidR="009143D0" w:rsidRPr="009143D0">
        <w:rPr>
          <w:rFonts w:cs="Arial"/>
          <w:color w:val="222222"/>
          <w:sz w:val="20"/>
          <w:szCs w:val="20"/>
        </w:rPr>
        <w:t xml:space="preserve"> more flexible spending guidelines</w:t>
      </w:r>
      <w:r w:rsidR="008F2712">
        <w:rPr>
          <w:rFonts w:cs="Arial"/>
          <w:color w:val="222222"/>
          <w:sz w:val="20"/>
          <w:szCs w:val="20"/>
        </w:rPr>
        <w:t>.</w:t>
      </w:r>
    </w:p>
    <w:p w:rsidR="005F3105" w:rsidRDefault="005F3105" w:rsidP="005F3105">
      <w:pPr>
        <w:keepLines w:val="0"/>
        <w:autoSpaceDE w:val="0"/>
        <w:autoSpaceDN w:val="0"/>
        <w:adjustRightInd w:val="0"/>
        <w:spacing w:before="200" w:after="200"/>
        <w:jc w:val="both"/>
        <w:rPr>
          <w:rFonts w:eastAsia="Times New Roman" w:cs="LFJEOP+TimesNewRoman"/>
          <w:color w:val="000000"/>
          <w:sz w:val="20"/>
          <w:szCs w:val="20"/>
        </w:rPr>
      </w:pPr>
      <w:r>
        <w:rPr>
          <w:rFonts w:eastAsia="Times New Roman" w:cs="LFJEOP+TimesNewRoman"/>
          <w:color w:val="000000"/>
          <w:sz w:val="20"/>
          <w:szCs w:val="20"/>
        </w:rPr>
        <w:t>Any amount not allowed by the funding agen</w:t>
      </w:r>
      <w:r w:rsidR="00080322">
        <w:rPr>
          <w:rFonts w:eastAsia="Times New Roman" w:cs="LFJEOP+TimesNewRoman"/>
          <w:color w:val="000000"/>
          <w:sz w:val="20"/>
          <w:szCs w:val="20"/>
        </w:rPr>
        <w:t>cy</w:t>
      </w:r>
      <w:r>
        <w:rPr>
          <w:rFonts w:eastAsia="Times New Roman" w:cs="LFJEOP+TimesNewRoman"/>
          <w:color w:val="000000"/>
          <w:sz w:val="20"/>
          <w:szCs w:val="20"/>
        </w:rPr>
        <w:t xml:space="preserve"> but allowed by NMT Moving Policy and Procedures must </w:t>
      </w:r>
      <w:r w:rsidR="00080322">
        <w:rPr>
          <w:rFonts w:eastAsia="Times New Roman" w:cs="LFJEOP+TimesNewRoman"/>
          <w:color w:val="000000"/>
          <w:sz w:val="20"/>
          <w:szCs w:val="20"/>
        </w:rPr>
        <w:t xml:space="preserve">not </w:t>
      </w:r>
      <w:r>
        <w:rPr>
          <w:rFonts w:eastAsia="Times New Roman" w:cs="LFJEOP+TimesNewRoman"/>
          <w:color w:val="000000"/>
          <w:sz w:val="20"/>
          <w:szCs w:val="20"/>
        </w:rPr>
        <w:t>be</w:t>
      </w:r>
      <w:r w:rsidR="00080322">
        <w:rPr>
          <w:rFonts w:eastAsia="Times New Roman" w:cs="LFJEOP+TimesNewRoman"/>
          <w:color w:val="000000"/>
          <w:sz w:val="20"/>
          <w:szCs w:val="20"/>
        </w:rPr>
        <w:t xml:space="preserve"> charged to</w:t>
      </w:r>
      <w:r>
        <w:rPr>
          <w:rFonts w:eastAsia="Times New Roman" w:cs="LFJEOP+TimesNewRoman"/>
          <w:color w:val="000000"/>
          <w:sz w:val="20"/>
          <w:szCs w:val="20"/>
        </w:rPr>
        <w:t xml:space="preserve"> the sponsored project </w:t>
      </w:r>
      <w:r w:rsidR="00080322">
        <w:rPr>
          <w:rFonts w:eastAsia="Times New Roman" w:cs="LFJEOP+TimesNewRoman"/>
          <w:color w:val="000000"/>
          <w:sz w:val="20"/>
          <w:szCs w:val="20"/>
        </w:rPr>
        <w:t xml:space="preserve">but may with the approval of the hiring department be charged </w:t>
      </w:r>
      <w:r>
        <w:rPr>
          <w:rFonts w:eastAsia="Times New Roman" w:cs="LFJEOP+TimesNewRoman"/>
          <w:color w:val="000000"/>
          <w:sz w:val="20"/>
          <w:szCs w:val="20"/>
        </w:rPr>
        <w:t xml:space="preserve">to a discretionary fund provided by the hiring department. </w:t>
      </w:r>
    </w:p>
    <w:p w:rsidR="005F3105" w:rsidRDefault="005F3105" w:rsidP="009143D0">
      <w:pPr>
        <w:keepLines w:val="0"/>
        <w:autoSpaceDE w:val="0"/>
        <w:autoSpaceDN w:val="0"/>
        <w:adjustRightInd w:val="0"/>
        <w:spacing w:before="200" w:after="200"/>
        <w:jc w:val="both"/>
        <w:rPr>
          <w:rFonts w:eastAsia="Times New Roman" w:cs="LFJEOP+TimesNewRoman"/>
          <w:sz w:val="20"/>
          <w:szCs w:val="20"/>
        </w:rPr>
      </w:pPr>
    </w:p>
    <w:p w:rsidR="007A6471" w:rsidRPr="006F6BF7" w:rsidRDefault="007A6471" w:rsidP="006F6BF7">
      <w:pPr>
        <w:keepLines w:val="0"/>
        <w:autoSpaceDE w:val="0"/>
        <w:autoSpaceDN w:val="0"/>
        <w:adjustRightInd w:val="0"/>
        <w:spacing w:before="200" w:after="200"/>
        <w:jc w:val="both"/>
        <w:rPr>
          <w:rFonts w:eastAsia="Times New Roman" w:cs="LFJEOP+TimesNewRoman"/>
          <w:sz w:val="20"/>
          <w:szCs w:val="20"/>
        </w:rPr>
      </w:pPr>
    </w:p>
    <w:p w:rsidR="00D82546" w:rsidRPr="003328BA" w:rsidRDefault="00D82546" w:rsidP="00D82546">
      <w:pPr>
        <w:pStyle w:val="Heading1"/>
      </w:pPr>
      <w:bookmarkStart w:id="16" w:name="_Toc104759796"/>
      <w:r>
        <w:lastRenderedPageBreak/>
        <w:t>Employee Obligation</w:t>
      </w:r>
      <w:bookmarkEnd w:id="16"/>
    </w:p>
    <w:p w:rsidR="00475705" w:rsidRDefault="00D82546" w:rsidP="00D82546">
      <w:pPr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  <w:r w:rsidRPr="003F6C09">
        <w:rPr>
          <w:rFonts w:eastAsia="Times New Roman" w:cs="LFJEOP+TimesNewRoman"/>
          <w:color w:val="000000"/>
          <w:sz w:val="20"/>
          <w:szCs w:val="20"/>
        </w:rPr>
        <w:t xml:space="preserve">The </w:t>
      </w:r>
      <w:r w:rsidR="00475705">
        <w:rPr>
          <w:rFonts w:eastAsia="Times New Roman" w:cs="LFJEOP+TimesNewRoman"/>
          <w:color w:val="000000"/>
          <w:sz w:val="20"/>
          <w:szCs w:val="20"/>
        </w:rPr>
        <w:t xml:space="preserve">new </w:t>
      </w:r>
      <w:r w:rsidRPr="003F6C09">
        <w:rPr>
          <w:rFonts w:eastAsia="Times New Roman" w:cs="LFJEOP+TimesNewRoman"/>
          <w:color w:val="000000"/>
          <w:sz w:val="20"/>
          <w:szCs w:val="20"/>
        </w:rPr>
        <w:t>employee must relocat</w:t>
      </w:r>
      <w:r>
        <w:rPr>
          <w:rFonts w:eastAsia="Times New Roman" w:cs="LFJEOP+TimesNewRoman"/>
          <w:color w:val="000000"/>
          <w:sz w:val="20"/>
          <w:szCs w:val="20"/>
        </w:rPr>
        <w:t>e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at least fifty (50) miles from</w:t>
      </w:r>
      <w:r w:rsidR="00A30368">
        <w:rPr>
          <w:rFonts w:eastAsia="Times New Roman" w:cs="LFJEOP+TimesNewRoman"/>
          <w:color w:val="000000"/>
          <w:sz w:val="20"/>
          <w:szCs w:val="20"/>
        </w:rPr>
        <w:t xml:space="preserve"> one’s</w:t>
      </w:r>
      <w:r w:rsidRPr="003F6C09">
        <w:rPr>
          <w:rFonts w:eastAsia="Times New Roman" w:cs="LFJEOP+TimesNewRoman"/>
          <w:color w:val="000000"/>
          <w:sz w:val="20"/>
          <w:szCs w:val="20"/>
        </w:rPr>
        <w:t xml:space="preserve"> previous residence.</w:t>
      </w:r>
      <w:r>
        <w:rPr>
          <w:rFonts w:eastAsia="Times New Roman" w:cs="LFJEOP+TimesNewRoman"/>
          <w:color w:val="000000"/>
          <w:sz w:val="20"/>
          <w:szCs w:val="20"/>
        </w:rPr>
        <w:t xml:space="preserve"> </w:t>
      </w:r>
    </w:p>
    <w:p w:rsidR="00475705" w:rsidRDefault="00BC1FE7" w:rsidP="00D82546">
      <w:pPr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  <w:r w:rsidRPr="00114BAA">
        <w:rPr>
          <w:rFonts w:eastAsia="Times New Roman" w:cs="LFJEOP+TimesNewRoman"/>
          <w:color w:val="000000"/>
          <w:sz w:val="20"/>
          <w:szCs w:val="20"/>
        </w:rPr>
        <w:t xml:space="preserve">The </w:t>
      </w:r>
      <w:r>
        <w:rPr>
          <w:rFonts w:eastAsia="Times New Roman" w:cs="LFJEOP+TimesNewRoman"/>
          <w:color w:val="000000"/>
          <w:sz w:val="20"/>
          <w:szCs w:val="20"/>
        </w:rPr>
        <w:t xml:space="preserve">act of moving 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is solely the responsibility of the </w:t>
      </w:r>
      <w:r>
        <w:rPr>
          <w:rFonts w:eastAsia="Times New Roman" w:cs="LFJEOP+TimesNewRoman"/>
          <w:color w:val="000000"/>
          <w:sz w:val="20"/>
          <w:szCs w:val="20"/>
        </w:rPr>
        <w:t xml:space="preserve">new </w:t>
      </w:r>
      <w:r w:rsidRPr="00114BAA">
        <w:rPr>
          <w:rFonts w:eastAsia="Times New Roman" w:cs="LFJEOP+TimesNewRoman"/>
          <w:color w:val="000000"/>
          <w:sz w:val="20"/>
          <w:szCs w:val="20"/>
        </w:rPr>
        <w:t>employee.</w:t>
      </w:r>
    </w:p>
    <w:p w:rsidR="00D82546" w:rsidRPr="006F6BF7" w:rsidRDefault="00D82546" w:rsidP="006F6BF7">
      <w:pPr>
        <w:autoSpaceDE w:val="0"/>
        <w:autoSpaceDN w:val="0"/>
        <w:adjustRightInd w:val="0"/>
        <w:spacing w:before="200" w:after="0"/>
        <w:jc w:val="both"/>
        <w:rPr>
          <w:rFonts w:eastAsia="Times New Roman" w:cs="LFJEOP+TimesNewRoman"/>
          <w:color w:val="000000"/>
          <w:sz w:val="20"/>
          <w:szCs w:val="20"/>
        </w:rPr>
      </w:pPr>
      <w:r>
        <w:rPr>
          <w:rFonts w:eastAsia="Times New Roman" w:cs="LFJEOP+TimesNewRoman"/>
          <w:color w:val="000000"/>
          <w:sz w:val="20"/>
          <w:szCs w:val="20"/>
        </w:rPr>
        <w:t>T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he </w:t>
      </w:r>
      <w:r w:rsidR="007808C6">
        <w:rPr>
          <w:rFonts w:eastAsia="Times New Roman" w:cs="LFJEOP+TimesNewRoman"/>
          <w:color w:val="000000"/>
          <w:sz w:val="20"/>
          <w:szCs w:val="20"/>
        </w:rPr>
        <w:t xml:space="preserve">new 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employee </w:t>
      </w:r>
      <w:r>
        <w:rPr>
          <w:rFonts w:eastAsia="Times New Roman" w:cs="LFJEOP+TimesNewRoman"/>
          <w:color w:val="000000"/>
          <w:sz w:val="20"/>
          <w:szCs w:val="20"/>
        </w:rPr>
        <w:t>must work full time for twelve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 </w:t>
      </w:r>
      <w:r>
        <w:rPr>
          <w:rFonts w:eastAsia="Times New Roman" w:cs="LFJEOP+TimesNewRoman"/>
          <w:color w:val="000000"/>
          <w:sz w:val="20"/>
          <w:szCs w:val="20"/>
        </w:rPr>
        <w:t>(</w:t>
      </w:r>
      <w:r w:rsidRPr="00114BAA">
        <w:rPr>
          <w:rFonts w:eastAsia="Times New Roman" w:cs="LFJEOP+TimesNewRoman"/>
          <w:color w:val="000000"/>
          <w:sz w:val="20"/>
          <w:szCs w:val="20"/>
        </w:rPr>
        <w:t>12</w:t>
      </w:r>
      <w:r>
        <w:rPr>
          <w:rFonts w:eastAsia="Times New Roman" w:cs="LFJEOP+TimesNewRoman"/>
          <w:color w:val="000000"/>
          <w:sz w:val="20"/>
          <w:szCs w:val="20"/>
        </w:rPr>
        <w:t>)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 </w:t>
      </w:r>
      <w:r>
        <w:rPr>
          <w:rFonts w:eastAsia="Times New Roman" w:cs="LFJEOP+TimesNewRoman"/>
          <w:color w:val="000000"/>
          <w:sz w:val="20"/>
          <w:szCs w:val="20"/>
        </w:rPr>
        <w:t xml:space="preserve">consecutive </w:t>
      </w:r>
      <w:r w:rsidRPr="00114BAA">
        <w:rPr>
          <w:rFonts w:eastAsia="Times New Roman" w:cs="LFJEOP+TimesNewRoman"/>
          <w:color w:val="000000"/>
          <w:sz w:val="20"/>
          <w:szCs w:val="20"/>
        </w:rPr>
        <w:t>months</w:t>
      </w:r>
      <w:r w:rsidR="00D64A9A">
        <w:rPr>
          <w:rFonts w:eastAsia="Times New Roman" w:cs="LFJEOP+TimesNewRoman"/>
          <w:color w:val="000000"/>
          <w:sz w:val="20"/>
          <w:szCs w:val="20"/>
        </w:rPr>
        <w:t xml:space="preserve"> from the employment start date</w:t>
      </w:r>
      <w:r>
        <w:rPr>
          <w:rFonts w:eastAsia="Times New Roman" w:cs="LFJEOP+TimesNewRoman"/>
          <w:color w:val="000000"/>
          <w:sz w:val="20"/>
          <w:szCs w:val="20"/>
        </w:rPr>
        <w:t>,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 </w:t>
      </w:r>
      <w:r>
        <w:rPr>
          <w:rFonts w:eastAsia="Times New Roman" w:cs="LFJEOP+TimesNewRoman"/>
          <w:color w:val="000000"/>
          <w:sz w:val="20"/>
          <w:szCs w:val="20"/>
        </w:rPr>
        <w:t xml:space="preserve">unless otherwise specified in the contract. </w:t>
      </w:r>
      <w:r w:rsidR="00E57376">
        <w:rPr>
          <w:rFonts w:eastAsia="Times New Roman" w:cs="LFJEOP+TimesNewRoman"/>
          <w:color w:val="000000"/>
          <w:sz w:val="20"/>
          <w:szCs w:val="20"/>
        </w:rPr>
        <w:t>If</w:t>
      </w:r>
      <w:r w:rsidR="00770E1A">
        <w:rPr>
          <w:rFonts w:eastAsia="Times New Roman" w:cs="LFJEOP+TimesNewRoman"/>
          <w:color w:val="000000"/>
          <w:sz w:val="20"/>
          <w:szCs w:val="20"/>
        </w:rPr>
        <w:t xml:space="preserve"> the</w:t>
      </w:r>
      <w:r w:rsidR="00EB0B24">
        <w:rPr>
          <w:rFonts w:eastAsia="Times New Roman" w:cs="LFJEOP+TimesNewRoman"/>
          <w:color w:val="000000"/>
          <w:sz w:val="20"/>
          <w:szCs w:val="20"/>
        </w:rPr>
        <w:t xml:space="preserve"> </w:t>
      </w:r>
      <w:r w:rsidR="009708E2" w:rsidRPr="00EB0B24">
        <w:rPr>
          <w:rFonts w:eastAsia="Times New Roman" w:cs="LFJEOP+TimesNewRoman"/>
          <w:color w:val="000000"/>
          <w:sz w:val="20"/>
          <w:szCs w:val="20"/>
        </w:rPr>
        <w:t>employment</w:t>
      </w:r>
      <w:r w:rsidR="00770E1A">
        <w:rPr>
          <w:rFonts w:eastAsia="Times New Roman" w:cs="LFJEOP+TimesNewRoman"/>
          <w:color w:val="000000"/>
          <w:sz w:val="20"/>
          <w:szCs w:val="20"/>
        </w:rPr>
        <w:t xml:space="preserve"> of a new employee</w:t>
      </w:r>
      <w:r w:rsidR="009708E2" w:rsidRPr="00EB0B24">
        <w:rPr>
          <w:rFonts w:eastAsia="Times New Roman" w:cs="LFJEOP+TimesNewRoman"/>
          <w:color w:val="000000"/>
          <w:sz w:val="20"/>
          <w:szCs w:val="20"/>
        </w:rPr>
        <w:t xml:space="preserve"> by NMT </w:t>
      </w:r>
      <w:r w:rsidR="00776FE7">
        <w:rPr>
          <w:rFonts w:eastAsia="Times New Roman" w:cs="LFJEOP+TimesNewRoman"/>
          <w:color w:val="000000"/>
          <w:sz w:val="20"/>
          <w:szCs w:val="20"/>
        </w:rPr>
        <w:t xml:space="preserve">ends for any reason </w:t>
      </w:r>
      <w:r w:rsidRPr="00114BAA">
        <w:rPr>
          <w:rFonts w:eastAsia="Times New Roman" w:cs="LFJEOP+TimesNewRoman"/>
          <w:color w:val="000000"/>
          <w:sz w:val="20"/>
          <w:szCs w:val="20"/>
        </w:rPr>
        <w:t>withi</w:t>
      </w:r>
      <w:r w:rsidR="005C2701">
        <w:rPr>
          <w:rFonts w:eastAsia="Times New Roman" w:cs="LFJEOP+TimesNewRoman"/>
          <w:color w:val="000000"/>
          <w:sz w:val="20"/>
          <w:szCs w:val="20"/>
        </w:rPr>
        <w:t xml:space="preserve">n </w:t>
      </w:r>
      <w:r w:rsidR="00446815">
        <w:rPr>
          <w:rFonts w:eastAsia="Times New Roman" w:cs="LFJEOP+TimesNewRoman"/>
          <w:color w:val="000000"/>
          <w:sz w:val="20"/>
          <w:szCs w:val="20"/>
        </w:rPr>
        <w:t>twelve (</w:t>
      </w:r>
      <w:r w:rsidR="005C2701">
        <w:rPr>
          <w:rFonts w:eastAsia="Times New Roman" w:cs="LFJEOP+TimesNewRoman"/>
          <w:color w:val="000000"/>
          <w:sz w:val="20"/>
          <w:szCs w:val="20"/>
        </w:rPr>
        <w:t>12</w:t>
      </w:r>
      <w:r w:rsidR="00446815">
        <w:rPr>
          <w:rFonts w:eastAsia="Times New Roman" w:cs="LFJEOP+TimesNewRoman"/>
          <w:color w:val="000000"/>
          <w:sz w:val="20"/>
          <w:szCs w:val="20"/>
        </w:rPr>
        <w:t>)</w:t>
      </w:r>
      <w:r w:rsidR="005C2701">
        <w:rPr>
          <w:rFonts w:eastAsia="Times New Roman" w:cs="LFJEOP+TimesNewRoman"/>
          <w:color w:val="000000"/>
          <w:sz w:val="20"/>
          <w:szCs w:val="20"/>
        </w:rPr>
        <w:t xml:space="preserve"> months of receipt </w:t>
      </w:r>
      <w:r w:rsidR="00776FE7">
        <w:rPr>
          <w:rFonts w:eastAsia="Times New Roman" w:cs="LFJEOP+TimesNewRoman"/>
          <w:color w:val="000000"/>
          <w:sz w:val="20"/>
          <w:szCs w:val="20"/>
        </w:rPr>
        <w:t xml:space="preserve">under these Procedures </w:t>
      </w:r>
      <w:r w:rsidR="005C2701">
        <w:rPr>
          <w:rFonts w:eastAsia="Times New Roman" w:cs="LFJEOP+TimesNewRoman"/>
          <w:color w:val="000000"/>
          <w:sz w:val="20"/>
          <w:szCs w:val="20"/>
        </w:rPr>
        <w:t xml:space="preserve">of </w:t>
      </w:r>
      <w:r w:rsidR="00BA4B6E">
        <w:rPr>
          <w:rFonts w:eastAsia="Times New Roman" w:cs="LFJEOP+TimesNewRoman"/>
          <w:color w:val="000000"/>
          <w:sz w:val="20"/>
          <w:szCs w:val="20"/>
        </w:rPr>
        <w:t xml:space="preserve">the </w:t>
      </w:r>
      <w:r w:rsidRPr="00114BAA">
        <w:rPr>
          <w:rFonts w:eastAsia="Times New Roman" w:cs="LFJEOP+TimesNewRoman"/>
          <w:color w:val="000000"/>
          <w:sz w:val="20"/>
          <w:szCs w:val="20"/>
        </w:rPr>
        <w:t>moving and relocation</w:t>
      </w:r>
      <w:r w:rsidR="00BA4B6E">
        <w:rPr>
          <w:rFonts w:eastAsia="Times New Roman" w:cs="LFJEOP+TimesNewRoman"/>
          <w:color w:val="000000"/>
          <w:sz w:val="20"/>
          <w:szCs w:val="20"/>
        </w:rPr>
        <w:t xml:space="preserve"> payment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, any such </w:t>
      </w:r>
      <w:r>
        <w:rPr>
          <w:rFonts w:eastAsia="Times New Roman" w:cs="LFJEOP+TimesNewRoman"/>
          <w:color w:val="000000"/>
          <w:sz w:val="20"/>
          <w:szCs w:val="20"/>
        </w:rPr>
        <w:t>payment</w:t>
      </w:r>
      <w:r w:rsidR="00B758D0">
        <w:rPr>
          <w:rFonts w:eastAsia="Times New Roman" w:cs="LFJEOP+TimesNewRoman"/>
          <w:color w:val="000000"/>
          <w:sz w:val="20"/>
          <w:szCs w:val="20"/>
        </w:rPr>
        <w:t>s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 received under this </w:t>
      </w:r>
      <w:r w:rsidR="000672E9">
        <w:rPr>
          <w:rFonts w:eastAsia="Times New Roman" w:cs="LFJEOP+TimesNewRoman"/>
          <w:color w:val="000000"/>
          <w:sz w:val="20"/>
          <w:szCs w:val="20"/>
        </w:rPr>
        <w:t>P</w:t>
      </w:r>
      <w:r w:rsidR="0044097E">
        <w:rPr>
          <w:rFonts w:eastAsia="Times New Roman" w:cs="LFJEOP+TimesNewRoman"/>
          <w:color w:val="000000"/>
          <w:sz w:val="20"/>
          <w:szCs w:val="20"/>
        </w:rPr>
        <w:t>rocedure</w:t>
      </w:r>
      <w:r w:rsidR="000672E9">
        <w:rPr>
          <w:rFonts w:eastAsia="Times New Roman" w:cs="LFJEOP+TimesNewRoman"/>
          <w:color w:val="000000"/>
          <w:sz w:val="20"/>
          <w:szCs w:val="20"/>
        </w:rPr>
        <w:t xml:space="preserve"> must</w:t>
      </w:r>
      <w:r w:rsidR="005C2701">
        <w:rPr>
          <w:rFonts w:eastAsia="Times New Roman" w:cs="LFJEOP+TimesNewRoman"/>
          <w:color w:val="000000"/>
          <w:sz w:val="20"/>
          <w:szCs w:val="20"/>
        </w:rPr>
        <w:t xml:space="preserve"> be </w:t>
      </w:r>
      <w:r w:rsidR="00B758D0">
        <w:rPr>
          <w:rFonts w:eastAsia="Times New Roman" w:cs="LFJEOP+TimesNewRoman"/>
          <w:color w:val="000000"/>
          <w:sz w:val="20"/>
          <w:szCs w:val="20"/>
        </w:rPr>
        <w:t>refunded</w:t>
      </w:r>
      <w:r w:rsidR="005C2701">
        <w:rPr>
          <w:rFonts w:eastAsia="Times New Roman" w:cs="LFJEOP+TimesNewRoman"/>
          <w:color w:val="000000"/>
          <w:sz w:val="20"/>
          <w:szCs w:val="20"/>
        </w:rPr>
        <w:t xml:space="preserve"> to NMT prior to the e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mployee receiving </w:t>
      </w:r>
      <w:r w:rsidR="00BA4B6E">
        <w:rPr>
          <w:rFonts w:eastAsia="Times New Roman" w:cs="LFJEOP+TimesNewRoman"/>
          <w:color w:val="000000"/>
          <w:sz w:val="20"/>
          <w:szCs w:val="20"/>
        </w:rPr>
        <w:t>the</w:t>
      </w:r>
      <w:r w:rsidRPr="00114BAA">
        <w:rPr>
          <w:rFonts w:eastAsia="Times New Roman" w:cs="LFJEOP+TimesNewRoman"/>
          <w:color w:val="000000"/>
          <w:sz w:val="20"/>
          <w:szCs w:val="20"/>
        </w:rPr>
        <w:t xml:space="preserve"> final pay</w:t>
      </w:r>
      <w:r w:rsidR="00B758D0">
        <w:rPr>
          <w:rFonts w:eastAsia="Times New Roman" w:cs="LFJEOP+TimesNewRoman"/>
          <w:color w:val="000000"/>
          <w:sz w:val="20"/>
          <w:szCs w:val="20"/>
        </w:rPr>
        <w:t>ment</w:t>
      </w:r>
      <w:r>
        <w:rPr>
          <w:rFonts w:eastAsia="Times New Roman" w:cs="LFJEOP+TimesNewRoman"/>
          <w:color w:val="000000"/>
          <w:sz w:val="20"/>
          <w:szCs w:val="20"/>
        </w:rPr>
        <w:t xml:space="preserve"> transaction</w:t>
      </w:r>
      <w:r w:rsidR="001D5752">
        <w:rPr>
          <w:rFonts w:eastAsia="Times New Roman" w:cs="LFJEOP+TimesNewRoman"/>
          <w:color w:val="000000"/>
          <w:sz w:val="20"/>
          <w:szCs w:val="20"/>
        </w:rPr>
        <w:t xml:space="preserve"> with NMT</w:t>
      </w:r>
      <w:r w:rsidRPr="00114BAA">
        <w:rPr>
          <w:rFonts w:eastAsia="Times New Roman" w:cs="LFJEOP+TimesNewRoman"/>
          <w:color w:val="000000"/>
          <w:sz w:val="20"/>
          <w:szCs w:val="20"/>
        </w:rPr>
        <w:t>.</w:t>
      </w:r>
    </w:p>
    <w:sectPr w:rsidR="00D82546" w:rsidRPr="006F6BF7" w:rsidSect="00F903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26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27" w:rsidRPr="00E61612" w:rsidRDefault="00736827" w:rsidP="00D76357">
      <w:pPr>
        <w:pStyle w:val="Heading1"/>
        <w:rPr>
          <w:rFonts w:ascii="Times New Roman" w:eastAsia="Calibri" w:hAnsi="Times New Roman"/>
          <w:kern w:val="0"/>
          <w:szCs w:val="22"/>
        </w:rPr>
      </w:pPr>
      <w:r>
        <w:separator/>
      </w:r>
    </w:p>
  </w:endnote>
  <w:endnote w:type="continuationSeparator" w:id="0">
    <w:p w:rsidR="00736827" w:rsidRPr="00E61612" w:rsidRDefault="00736827" w:rsidP="00D76357">
      <w:pPr>
        <w:pStyle w:val="Heading1"/>
        <w:rPr>
          <w:rFonts w:ascii="Times New Roman" w:eastAsia="Calibri" w:hAnsi="Times New Roman"/>
          <w:kern w:val="0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JEO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5A" w:rsidRDefault="00B05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DB" w:rsidRPr="00647C01" w:rsidRDefault="005D41DB" w:rsidP="00647C01">
    <w:pPr>
      <w:pStyle w:val="Footer"/>
    </w:pPr>
    <w:r w:rsidRPr="00647C01">
      <w:t xml:space="preserve">NMIMT Administration and Finance || </w:t>
    </w:r>
    <w:r>
      <w:t>Business Office</w:t>
    </w:r>
  </w:p>
  <w:p w:rsidR="005D41DB" w:rsidRDefault="005D41DB" w:rsidP="006E1DA7">
    <w:pP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F653D">
      <w:rPr>
        <w:noProof/>
      </w:rPr>
      <w:t>2</w:t>
    </w:r>
    <w:r>
      <w:fldChar w:fldCharType="end"/>
    </w:r>
    <w:r>
      <w:t xml:space="preserve"> of </w:t>
    </w:r>
    <w:r w:rsidR="00736827">
      <w:fldChar w:fldCharType="begin"/>
    </w:r>
    <w:r w:rsidR="00736827">
      <w:instrText xml:space="preserve"> NUMPAGES  </w:instrText>
    </w:r>
    <w:r w:rsidR="00736827">
      <w:fldChar w:fldCharType="separate"/>
    </w:r>
    <w:r w:rsidR="00DF653D">
      <w:rPr>
        <w:noProof/>
      </w:rPr>
      <w:t>8</w:t>
    </w:r>
    <w:r w:rsidR="007368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5A" w:rsidRDefault="00B0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27" w:rsidRPr="00E61612" w:rsidRDefault="00736827" w:rsidP="00D76357">
      <w:pPr>
        <w:pStyle w:val="Heading1"/>
        <w:rPr>
          <w:rFonts w:ascii="Times New Roman" w:eastAsia="Calibri" w:hAnsi="Times New Roman"/>
          <w:kern w:val="0"/>
          <w:szCs w:val="22"/>
        </w:rPr>
      </w:pPr>
      <w:r>
        <w:separator/>
      </w:r>
    </w:p>
  </w:footnote>
  <w:footnote w:type="continuationSeparator" w:id="0">
    <w:p w:rsidR="00736827" w:rsidRPr="00E61612" w:rsidRDefault="00736827" w:rsidP="00D76357">
      <w:pPr>
        <w:pStyle w:val="Heading1"/>
        <w:rPr>
          <w:rFonts w:ascii="Times New Roman" w:eastAsia="Calibri" w:hAnsi="Times New Roman"/>
          <w:kern w:val="0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5A" w:rsidRDefault="007368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16563" o:spid="_x0000_s2059" type="#_x0000_t136" style="position:absolute;left:0;text-align:left;margin-left:0;margin-top:0;width:461.85pt;height:197.9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DRAFT"/>
          <w10:wrap anchorx="margin" anchory="margin"/>
        </v:shape>
      </w:pict>
    </w:r>
    <w:r w:rsidR="007E1A66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FCB263B" wp14:editId="4F8672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5495" cy="2513965"/>
              <wp:effectExtent l="0" t="1666875" r="0" b="1115060"/>
              <wp:wrapNone/>
              <wp:docPr id="3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5495" cy="2513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6" w:rsidRDefault="007E1A66" w:rsidP="007E1A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B263B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461.85pt;height:197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7E1A66" w:rsidRDefault="007E1A66" w:rsidP="007E1A6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BF7" w:rsidRPr="00D76357" w:rsidRDefault="00736827" w:rsidP="00600E99">
    <w:pPr>
      <w:pStyle w:val="Header"/>
      <w:jc w:val="lef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16564" o:spid="_x0000_s2060" type="#_x0000_t136" style="position:absolute;margin-left:0;margin-top:0;width:461.85pt;height:197.9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DRAFT"/>
          <w10:wrap anchorx="margin" anchory="margin"/>
        </v:shape>
      </w:pict>
    </w:r>
    <w:r w:rsidR="007E1A6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344A7E" wp14:editId="6B1AA1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5495" cy="2513965"/>
              <wp:effectExtent l="0" t="1666875" r="0" b="1115060"/>
              <wp:wrapNone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5495" cy="2513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6" w:rsidRDefault="007E1A66" w:rsidP="007E1A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44A7E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7E1A66" w:rsidRDefault="007E1A66" w:rsidP="007E1A6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D41DB">
      <w:t xml:space="preserve">Moving </w:t>
    </w:r>
    <w:r w:rsidR="00B0505A">
      <w:t xml:space="preserve">and Reallocation Reimbursement </w:t>
    </w:r>
    <w:r w:rsidR="005D41DB">
      <w:t>Procedures</w:t>
    </w:r>
    <w:r w:rsidR="00B0505A">
      <w:tab/>
    </w:r>
    <w:r w:rsidR="005D41DB" w:rsidRPr="00D76357">
      <w:t xml:space="preserve">Last </w:t>
    </w:r>
    <w:r w:rsidR="005D41DB">
      <w:t>Revised</w:t>
    </w:r>
    <w:r w:rsidR="005D41DB" w:rsidRPr="00D76357">
      <w:t xml:space="preserve">: </w:t>
    </w:r>
    <w:r w:rsidR="0056020D">
      <w:t>June 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DB" w:rsidRDefault="007368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4716562" o:spid="_x0000_s2058" type="#_x0000_t136" style="position:absolute;left:0;text-align:left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0E8E6C6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57B633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525E8"/>
    <w:multiLevelType w:val="hybridMultilevel"/>
    <w:tmpl w:val="F9E4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3260"/>
    <w:multiLevelType w:val="hybridMultilevel"/>
    <w:tmpl w:val="764E2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5F0D"/>
    <w:multiLevelType w:val="hybridMultilevel"/>
    <w:tmpl w:val="329CE632"/>
    <w:lvl w:ilvl="0" w:tplc="85EA0998">
      <w:start w:val="1"/>
      <w:numFmt w:val="upperRoman"/>
      <w:pStyle w:val="Heading1"/>
      <w:lvlText w:val="%1.  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B911F2"/>
    <w:multiLevelType w:val="hybridMultilevel"/>
    <w:tmpl w:val="DC7E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32F3E"/>
    <w:multiLevelType w:val="hybridMultilevel"/>
    <w:tmpl w:val="2A5A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71D8C"/>
    <w:multiLevelType w:val="hybridMultilevel"/>
    <w:tmpl w:val="91AAC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E74BB"/>
    <w:multiLevelType w:val="hybridMultilevel"/>
    <w:tmpl w:val="FDE4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4EE3"/>
    <w:multiLevelType w:val="hybridMultilevel"/>
    <w:tmpl w:val="47F6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234B"/>
    <w:multiLevelType w:val="hybridMultilevel"/>
    <w:tmpl w:val="51440ABA"/>
    <w:lvl w:ilvl="0" w:tplc="0A1295D8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52D3"/>
    <w:multiLevelType w:val="hybridMultilevel"/>
    <w:tmpl w:val="31EE00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EA3773"/>
    <w:multiLevelType w:val="hybridMultilevel"/>
    <w:tmpl w:val="E00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06F"/>
    <w:multiLevelType w:val="hybridMultilevel"/>
    <w:tmpl w:val="642C78E8"/>
    <w:lvl w:ilvl="0" w:tplc="01B28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C2EE0"/>
    <w:multiLevelType w:val="hybridMultilevel"/>
    <w:tmpl w:val="5102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7743"/>
    <w:multiLevelType w:val="hybridMultilevel"/>
    <w:tmpl w:val="1898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55568"/>
    <w:multiLevelType w:val="hybridMultilevel"/>
    <w:tmpl w:val="6392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505A4"/>
    <w:multiLevelType w:val="hybridMultilevel"/>
    <w:tmpl w:val="324C0B56"/>
    <w:lvl w:ilvl="0" w:tplc="0A129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80F711A"/>
    <w:multiLevelType w:val="hybridMultilevel"/>
    <w:tmpl w:val="F9A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26C7B"/>
    <w:multiLevelType w:val="hybridMultilevel"/>
    <w:tmpl w:val="31EE00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0D4A54"/>
    <w:multiLevelType w:val="hybridMultilevel"/>
    <w:tmpl w:val="7E6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47788"/>
    <w:multiLevelType w:val="hybridMultilevel"/>
    <w:tmpl w:val="D716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8324D"/>
    <w:multiLevelType w:val="hybridMultilevel"/>
    <w:tmpl w:val="BF44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F1719"/>
    <w:multiLevelType w:val="hybridMultilevel"/>
    <w:tmpl w:val="9F945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3AE3"/>
    <w:multiLevelType w:val="hybridMultilevel"/>
    <w:tmpl w:val="C278EB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BEE3373"/>
    <w:multiLevelType w:val="hybridMultilevel"/>
    <w:tmpl w:val="038E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B5FA0"/>
    <w:multiLevelType w:val="hybridMultilevel"/>
    <w:tmpl w:val="9A6C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13A43"/>
    <w:multiLevelType w:val="hybridMultilevel"/>
    <w:tmpl w:val="9864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7"/>
  </w:num>
  <w:num w:numId="5">
    <w:abstractNumId w:val="17"/>
  </w:num>
  <w:num w:numId="6">
    <w:abstractNumId w:val="10"/>
  </w:num>
  <w:num w:numId="7">
    <w:abstractNumId w:val="23"/>
  </w:num>
  <w:num w:numId="8">
    <w:abstractNumId w:val="19"/>
  </w:num>
  <w:num w:numId="9">
    <w:abstractNumId w:val="11"/>
  </w:num>
  <w:num w:numId="10">
    <w:abstractNumId w:val="2"/>
  </w:num>
  <w:num w:numId="11">
    <w:abstractNumId w:val="26"/>
  </w:num>
  <w:num w:numId="12">
    <w:abstractNumId w:val="8"/>
  </w:num>
  <w:num w:numId="13">
    <w:abstractNumId w:val="6"/>
  </w:num>
  <w:num w:numId="14">
    <w:abstractNumId w:val="18"/>
  </w:num>
  <w:num w:numId="15">
    <w:abstractNumId w:val="20"/>
  </w:num>
  <w:num w:numId="16">
    <w:abstractNumId w:val="25"/>
  </w:num>
  <w:num w:numId="17">
    <w:abstractNumId w:val="16"/>
  </w:num>
  <w:num w:numId="18">
    <w:abstractNumId w:val="7"/>
  </w:num>
  <w:num w:numId="19">
    <w:abstractNumId w:val="4"/>
    <w:lvlOverride w:ilvl="0">
      <w:startOverride w:val="1"/>
    </w:lvlOverride>
  </w:num>
  <w:num w:numId="20">
    <w:abstractNumId w:val="5"/>
  </w:num>
  <w:num w:numId="21">
    <w:abstractNumId w:val="4"/>
    <w:lvlOverride w:ilvl="0">
      <w:startOverride w:val="1"/>
    </w:lvlOverride>
  </w:num>
  <w:num w:numId="22">
    <w:abstractNumId w:val="22"/>
  </w:num>
  <w:num w:numId="23">
    <w:abstractNumId w:val="3"/>
  </w:num>
  <w:num w:numId="24">
    <w:abstractNumId w:val="14"/>
  </w:num>
  <w:num w:numId="25">
    <w:abstractNumId w:val="24"/>
  </w:num>
  <w:num w:numId="26">
    <w:abstractNumId w:val="4"/>
    <w:lvlOverride w:ilvl="0">
      <w:startOverride w:val="1"/>
    </w:lvlOverride>
  </w:num>
  <w:num w:numId="27">
    <w:abstractNumId w:val="9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12"/>
  </w:num>
  <w:num w:numId="31">
    <w:abstractNumId w:val="4"/>
    <w:lvlOverride w:ilvl="0">
      <w:startOverride w:val="1"/>
    </w:lvlOverride>
  </w:num>
  <w:num w:numId="32">
    <w:abstractNumId w:val="21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1D"/>
    <w:rsid w:val="00004A6E"/>
    <w:rsid w:val="000053EA"/>
    <w:rsid w:val="00005C96"/>
    <w:rsid w:val="00006401"/>
    <w:rsid w:val="000066E8"/>
    <w:rsid w:val="0001221C"/>
    <w:rsid w:val="0001245A"/>
    <w:rsid w:val="00014779"/>
    <w:rsid w:val="00020595"/>
    <w:rsid w:val="0002498B"/>
    <w:rsid w:val="00031364"/>
    <w:rsid w:val="00034ABD"/>
    <w:rsid w:val="00035704"/>
    <w:rsid w:val="00036670"/>
    <w:rsid w:val="00037178"/>
    <w:rsid w:val="00042742"/>
    <w:rsid w:val="00044685"/>
    <w:rsid w:val="00050B48"/>
    <w:rsid w:val="0005102E"/>
    <w:rsid w:val="00052091"/>
    <w:rsid w:val="00053E29"/>
    <w:rsid w:val="00063414"/>
    <w:rsid w:val="000639BF"/>
    <w:rsid w:val="00066C3F"/>
    <w:rsid w:val="000672E9"/>
    <w:rsid w:val="000678D9"/>
    <w:rsid w:val="00067B21"/>
    <w:rsid w:val="0007071C"/>
    <w:rsid w:val="0007664C"/>
    <w:rsid w:val="000769F4"/>
    <w:rsid w:val="00080322"/>
    <w:rsid w:val="0008072E"/>
    <w:rsid w:val="00082E56"/>
    <w:rsid w:val="0008537B"/>
    <w:rsid w:val="00090F47"/>
    <w:rsid w:val="000915D1"/>
    <w:rsid w:val="0009160E"/>
    <w:rsid w:val="00091861"/>
    <w:rsid w:val="00091D2E"/>
    <w:rsid w:val="000925DF"/>
    <w:rsid w:val="00093A2C"/>
    <w:rsid w:val="000940CD"/>
    <w:rsid w:val="00094ADB"/>
    <w:rsid w:val="00097A71"/>
    <w:rsid w:val="000A26C9"/>
    <w:rsid w:val="000B22DD"/>
    <w:rsid w:val="000B30F6"/>
    <w:rsid w:val="000B32BF"/>
    <w:rsid w:val="000B5546"/>
    <w:rsid w:val="000B5620"/>
    <w:rsid w:val="000B6C6A"/>
    <w:rsid w:val="000D0B72"/>
    <w:rsid w:val="000D1E20"/>
    <w:rsid w:val="000D2A8E"/>
    <w:rsid w:val="000D3DD2"/>
    <w:rsid w:val="000D6178"/>
    <w:rsid w:val="000D6E19"/>
    <w:rsid w:val="000E23A6"/>
    <w:rsid w:val="000E387A"/>
    <w:rsid w:val="000E69D6"/>
    <w:rsid w:val="000F0762"/>
    <w:rsid w:val="000F4DAC"/>
    <w:rsid w:val="000F566D"/>
    <w:rsid w:val="00100355"/>
    <w:rsid w:val="00101980"/>
    <w:rsid w:val="00102FC1"/>
    <w:rsid w:val="001035EB"/>
    <w:rsid w:val="00104129"/>
    <w:rsid w:val="00104A25"/>
    <w:rsid w:val="00104D0B"/>
    <w:rsid w:val="00104F7B"/>
    <w:rsid w:val="001123E6"/>
    <w:rsid w:val="0011260C"/>
    <w:rsid w:val="00112BC0"/>
    <w:rsid w:val="0011370E"/>
    <w:rsid w:val="00117299"/>
    <w:rsid w:val="00117CDB"/>
    <w:rsid w:val="00117F3F"/>
    <w:rsid w:val="001232DB"/>
    <w:rsid w:val="00124993"/>
    <w:rsid w:val="00132C5E"/>
    <w:rsid w:val="00134991"/>
    <w:rsid w:val="00134A5B"/>
    <w:rsid w:val="0014335D"/>
    <w:rsid w:val="001473CD"/>
    <w:rsid w:val="00147F5D"/>
    <w:rsid w:val="00153154"/>
    <w:rsid w:val="0015557E"/>
    <w:rsid w:val="00160EFD"/>
    <w:rsid w:val="00163C70"/>
    <w:rsid w:val="0016488B"/>
    <w:rsid w:val="00173DFA"/>
    <w:rsid w:val="00180F74"/>
    <w:rsid w:val="0018509B"/>
    <w:rsid w:val="001900EA"/>
    <w:rsid w:val="001968FF"/>
    <w:rsid w:val="001A18C9"/>
    <w:rsid w:val="001A65C9"/>
    <w:rsid w:val="001B533C"/>
    <w:rsid w:val="001C07B9"/>
    <w:rsid w:val="001C0AC9"/>
    <w:rsid w:val="001C37B7"/>
    <w:rsid w:val="001C5E2A"/>
    <w:rsid w:val="001C6633"/>
    <w:rsid w:val="001C6830"/>
    <w:rsid w:val="001C6D6E"/>
    <w:rsid w:val="001D135F"/>
    <w:rsid w:val="001D1FF8"/>
    <w:rsid w:val="001D5752"/>
    <w:rsid w:val="001D7EE0"/>
    <w:rsid w:val="001E11C7"/>
    <w:rsid w:val="001E6E95"/>
    <w:rsid w:val="001E72EC"/>
    <w:rsid w:val="001F1820"/>
    <w:rsid w:val="001F40FE"/>
    <w:rsid w:val="00201896"/>
    <w:rsid w:val="0020343F"/>
    <w:rsid w:val="00203E14"/>
    <w:rsid w:val="0020415B"/>
    <w:rsid w:val="00205832"/>
    <w:rsid w:val="00207906"/>
    <w:rsid w:val="002111D7"/>
    <w:rsid w:val="00213525"/>
    <w:rsid w:val="0021402A"/>
    <w:rsid w:val="00215EE8"/>
    <w:rsid w:val="00222BCD"/>
    <w:rsid w:val="00222FE4"/>
    <w:rsid w:val="002249A4"/>
    <w:rsid w:val="00224A2E"/>
    <w:rsid w:val="0022700E"/>
    <w:rsid w:val="00227300"/>
    <w:rsid w:val="00230FC8"/>
    <w:rsid w:val="002313AD"/>
    <w:rsid w:val="00235DE1"/>
    <w:rsid w:val="002370B5"/>
    <w:rsid w:val="00237D57"/>
    <w:rsid w:val="0024289E"/>
    <w:rsid w:val="00242DDA"/>
    <w:rsid w:val="00243C1D"/>
    <w:rsid w:val="002442D5"/>
    <w:rsid w:val="002445FC"/>
    <w:rsid w:val="002475EC"/>
    <w:rsid w:val="0025036F"/>
    <w:rsid w:val="00255022"/>
    <w:rsid w:val="00260FB1"/>
    <w:rsid w:val="00262762"/>
    <w:rsid w:val="0026497F"/>
    <w:rsid w:val="00264D17"/>
    <w:rsid w:val="00265749"/>
    <w:rsid w:val="0026583D"/>
    <w:rsid w:val="002708C3"/>
    <w:rsid w:val="002709F8"/>
    <w:rsid w:val="00271900"/>
    <w:rsid w:val="00275713"/>
    <w:rsid w:val="002770F6"/>
    <w:rsid w:val="0028210C"/>
    <w:rsid w:val="002868EE"/>
    <w:rsid w:val="00290325"/>
    <w:rsid w:val="00291628"/>
    <w:rsid w:val="00291AFD"/>
    <w:rsid w:val="00293D78"/>
    <w:rsid w:val="00293F92"/>
    <w:rsid w:val="00295038"/>
    <w:rsid w:val="0029540A"/>
    <w:rsid w:val="002A3015"/>
    <w:rsid w:val="002A34EA"/>
    <w:rsid w:val="002A4A05"/>
    <w:rsid w:val="002A4EBC"/>
    <w:rsid w:val="002B2A57"/>
    <w:rsid w:val="002B3E21"/>
    <w:rsid w:val="002B5A2A"/>
    <w:rsid w:val="002B7161"/>
    <w:rsid w:val="002B75E4"/>
    <w:rsid w:val="002C0D1B"/>
    <w:rsid w:val="002C2634"/>
    <w:rsid w:val="002C57AA"/>
    <w:rsid w:val="002C7C11"/>
    <w:rsid w:val="002C7D26"/>
    <w:rsid w:val="002D27C2"/>
    <w:rsid w:val="002D27E9"/>
    <w:rsid w:val="002E2D67"/>
    <w:rsid w:val="002E3A9F"/>
    <w:rsid w:val="002E5A71"/>
    <w:rsid w:val="002E5B21"/>
    <w:rsid w:val="002E5F4D"/>
    <w:rsid w:val="002F26AF"/>
    <w:rsid w:val="002F4E6A"/>
    <w:rsid w:val="002F7DF6"/>
    <w:rsid w:val="00303931"/>
    <w:rsid w:val="00304AFF"/>
    <w:rsid w:val="00310E93"/>
    <w:rsid w:val="003124A8"/>
    <w:rsid w:val="00312840"/>
    <w:rsid w:val="00316552"/>
    <w:rsid w:val="003233B6"/>
    <w:rsid w:val="00323FD2"/>
    <w:rsid w:val="003250A3"/>
    <w:rsid w:val="003328BA"/>
    <w:rsid w:val="00333051"/>
    <w:rsid w:val="003331D5"/>
    <w:rsid w:val="00333D46"/>
    <w:rsid w:val="00335C50"/>
    <w:rsid w:val="00344033"/>
    <w:rsid w:val="00346C95"/>
    <w:rsid w:val="00347808"/>
    <w:rsid w:val="00351D32"/>
    <w:rsid w:val="00354C4B"/>
    <w:rsid w:val="00356384"/>
    <w:rsid w:val="00360147"/>
    <w:rsid w:val="00361885"/>
    <w:rsid w:val="00363633"/>
    <w:rsid w:val="00364AB7"/>
    <w:rsid w:val="00366C41"/>
    <w:rsid w:val="003707F8"/>
    <w:rsid w:val="00371F01"/>
    <w:rsid w:val="0037492D"/>
    <w:rsid w:val="00375113"/>
    <w:rsid w:val="00382712"/>
    <w:rsid w:val="00383B87"/>
    <w:rsid w:val="00386FF2"/>
    <w:rsid w:val="00390C93"/>
    <w:rsid w:val="00393E68"/>
    <w:rsid w:val="003A1441"/>
    <w:rsid w:val="003A2AA8"/>
    <w:rsid w:val="003A306C"/>
    <w:rsid w:val="003A4407"/>
    <w:rsid w:val="003A614E"/>
    <w:rsid w:val="003A6B84"/>
    <w:rsid w:val="003B3D54"/>
    <w:rsid w:val="003B4668"/>
    <w:rsid w:val="003B4D3B"/>
    <w:rsid w:val="003B6AF9"/>
    <w:rsid w:val="003B6BE0"/>
    <w:rsid w:val="003C4D4B"/>
    <w:rsid w:val="003C586B"/>
    <w:rsid w:val="003C5AE0"/>
    <w:rsid w:val="003C7255"/>
    <w:rsid w:val="003D68F9"/>
    <w:rsid w:val="003E04E0"/>
    <w:rsid w:val="003E0A00"/>
    <w:rsid w:val="003E196F"/>
    <w:rsid w:val="003E4FE5"/>
    <w:rsid w:val="003E511F"/>
    <w:rsid w:val="003E72E8"/>
    <w:rsid w:val="003F0D8A"/>
    <w:rsid w:val="003F18CA"/>
    <w:rsid w:val="003F521A"/>
    <w:rsid w:val="003F7E0F"/>
    <w:rsid w:val="00402121"/>
    <w:rsid w:val="00402B40"/>
    <w:rsid w:val="00407021"/>
    <w:rsid w:val="00411B89"/>
    <w:rsid w:val="00414EBB"/>
    <w:rsid w:val="00416636"/>
    <w:rsid w:val="004167DE"/>
    <w:rsid w:val="00420EBB"/>
    <w:rsid w:val="0042328E"/>
    <w:rsid w:val="00423328"/>
    <w:rsid w:val="00423E09"/>
    <w:rsid w:val="004267D3"/>
    <w:rsid w:val="0043259B"/>
    <w:rsid w:val="004364D7"/>
    <w:rsid w:val="00436D2E"/>
    <w:rsid w:val="0044097E"/>
    <w:rsid w:val="00442C7F"/>
    <w:rsid w:val="004444FD"/>
    <w:rsid w:val="00446815"/>
    <w:rsid w:val="004503EA"/>
    <w:rsid w:val="00450410"/>
    <w:rsid w:val="0045536C"/>
    <w:rsid w:val="00455CBD"/>
    <w:rsid w:val="004577C8"/>
    <w:rsid w:val="00462362"/>
    <w:rsid w:val="00467444"/>
    <w:rsid w:val="00467B0D"/>
    <w:rsid w:val="0047205D"/>
    <w:rsid w:val="0047213C"/>
    <w:rsid w:val="004729D6"/>
    <w:rsid w:val="00475705"/>
    <w:rsid w:val="00475F7C"/>
    <w:rsid w:val="00485DF2"/>
    <w:rsid w:val="00486C3E"/>
    <w:rsid w:val="0048786A"/>
    <w:rsid w:val="004906C3"/>
    <w:rsid w:val="00492CBA"/>
    <w:rsid w:val="004A2F70"/>
    <w:rsid w:val="004B002B"/>
    <w:rsid w:val="004B57AD"/>
    <w:rsid w:val="004B690D"/>
    <w:rsid w:val="004C7FA6"/>
    <w:rsid w:val="004E24AF"/>
    <w:rsid w:val="004E335F"/>
    <w:rsid w:val="004E35C9"/>
    <w:rsid w:val="004E52AE"/>
    <w:rsid w:val="004F0A70"/>
    <w:rsid w:val="004F1F1F"/>
    <w:rsid w:val="004F309F"/>
    <w:rsid w:val="004F5842"/>
    <w:rsid w:val="004F5CCA"/>
    <w:rsid w:val="004F6CCA"/>
    <w:rsid w:val="005037EE"/>
    <w:rsid w:val="00505134"/>
    <w:rsid w:val="0050658F"/>
    <w:rsid w:val="00506AA8"/>
    <w:rsid w:val="00507695"/>
    <w:rsid w:val="005122AE"/>
    <w:rsid w:val="0051615E"/>
    <w:rsid w:val="0052778A"/>
    <w:rsid w:val="005320E6"/>
    <w:rsid w:val="005363A3"/>
    <w:rsid w:val="00537A62"/>
    <w:rsid w:val="00540AEE"/>
    <w:rsid w:val="00541CA2"/>
    <w:rsid w:val="005470E9"/>
    <w:rsid w:val="005535DB"/>
    <w:rsid w:val="0056020D"/>
    <w:rsid w:val="00562CEA"/>
    <w:rsid w:val="0056632E"/>
    <w:rsid w:val="00567572"/>
    <w:rsid w:val="00572204"/>
    <w:rsid w:val="00572A60"/>
    <w:rsid w:val="0058234D"/>
    <w:rsid w:val="0058423C"/>
    <w:rsid w:val="005877FC"/>
    <w:rsid w:val="0059033F"/>
    <w:rsid w:val="00593099"/>
    <w:rsid w:val="005A5B72"/>
    <w:rsid w:val="005A78FE"/>
    <w:rsid w:val="005B2182"/>
    <w:rsid w:val="005B25DF"/>
    <w:rsid w:val="005B32B2"/>
    <w:rsid w:val="005B539E"/>
    <w:rsid w:val="005B53D7"/>
    <w:rsid w:val="005C00D6"/>
    <w:rsid w:val="005C2701"/>
    <w:rsid w:val="005C3405"/>
    <w:rsid w:val="005C4025"/>
    <w:rsid w:val="005C40DB"/>
    <w:rsid w:val="005C5243"/>
    <w:rsid w:val="005D05D9"/>
    <w:rsid w:val="005D0C94"/>
    <w:rsid w:val="005D3C28"/>
    <w:rsid w:val="005D41DB"/>
    <w:rsid w:val="005D43FB"/>
    <w:rsid w:val="005D4758"/>
    <w:rsid w:val="005D5200"/>
    <w:rsid w:val="005D78A3"/>
    <w:rsid w:val="005D7B28"/>
    <w:rsid w:val="005E01AF"/>
    <w:rsid w:val="005E3103"/>
    <w:rsid w:val="005E79F8"/>
    <w:rsid w:val="005F02D2"/>
    <w:rsid w:val="005F1771"/>
    <w:rsid w:val="005F1E5F"/>
    <w:rsid w:val="005F3105"/>
    <w:rsid w:val="005F4109"/>
    <w:rsid w:val="00600C1D"/>
    <w:rsid w:val="00600E99"/>
    <w:rsid w:val="00602802"/>
    <w:rsid w:val="00615506"/>
    <w:rsid w:val="00616DAD"/>
    <w:rsid w:val="00620E59"/>
    <w:rsid w:val="00624958"/>
    <w:rsid w:val="00643743"/>
    <w:rsid w:val="00646406"/>
    <w:rsid w:val="00647C01"/>
    <w:rsid w:val="00650204"/>
    <w:rsid w:val="006512A4"/>
    <w:rsid w:val="00652594"/>
    <w:rsid w:val="00652607"/>
    <w:rsid w:val="0065320E"/>
    <w:rsid w:val="006563E4"/>
    <w:rsid w:val="00656DCC"/>
    <w:rsid w:val="00663625"/>
    <w:rsid w:val="00665014"/>
    <w:rsid w:val="00671518"/>
    <w:rsid w:val="00680952"/>
    <w:rsid w:val="00681B3B"/>
    <w:rsid w:val="0068280B"/>
    <w:rsid w:val="00683ACF"/>
    <w:rsid w:val="00687D30"/>
    <w:rsid w:val="00692285"/>
    <w:rsid w:val="00695A08"/>
    <w:rsid w:val="006972E6"/>
    <w:rsid w:val="0069758C"/>
    <w:rsid w:val="006A25B9"/>
    <w:rsid w:val="006A2674"/>
    <w:rsid w:val="006A2F19"/>
    <w:rsid w:val="006A53F2"/>
    <w:rsid w:val="006A6206"/>
    <w:rsid w:val="006B118E"/>
    <w:rsid w:val="006B380A"/>
    <w:rsid w:val="006B5FDF"/>
    <w:rsid w:val="006C37B0"/>
    <w:rsid w:val="006D19A6"/>
    <w:rsid w:val="006D2E70"/>
    <w:rsid w:val="006D3972"/>
    <w:rsid w:val="006D502D"/>
    <w:rsid w:val="006D5FE4"/>
    <w:rsid w:val="006E130A"/>
    <w:rsid w:val="006E1DA7"/>
    <w:rsid w:val="006E22F6"/>
    <w:rsid w:val="006E23EF"/>
    <w:rsid w:val="006E29D8"/>
    <w:rsid w:val="006E2FE6"/>
    <w:rsid w:val="006E3368"/>
    <w:rsid w:val="006E48EB"/>
    <w:rsid w:val="006E528B"/>
    <w:rsid w:val="006F572E"/>
    <w:rsid w:val="006F58F8"/>
    <w:rsid w:val="006F6BF7"/>
    <w:rsid w:val="00701017"/>
    <w:rsid w:val="007023B5"/>
    <w:rsid w:val="007050BF"/>
    <w:rsid w:val="00707696"/>
    <w:rsid w:val="0071352D"/>
    <w:rsid w:val="00713DDB"/>
    <w:rsid w:val="00713EE7"/>
    <w:rsid w:val="007155B7"/>
    <w:rsid w:val="00715C6C"/>
    <w:rsid w:val="00715E56"/>
    <w:rsid w:val="00716EE7"/>
    <w:rsid w:val="00717A24"/>
    <w:rsid w:val="00721698"/>
    <w:rsid w:val="0072199B"/>
    <w:rsid w:val="00721DDF"/>
    <w:rsid w:val="007254A6"/>
    <w:rsid w:val="007347D4"/>
    <w:rsid w:val="00735B6A"/>
    <w:rsid w:val="00736827"/>
    <w:rsid w:val="00736EBC"/>
    <w:rsid w:val="007532D5"/>
    <w:rsid w:val="00753657"/>
    <w:rsid w:val="00754CE3"/>
    <w:rsid w:val="00755A98"/>
    <w:rsid w:val="00756C0F"/>
    <w:rsid w:val="00761625"/>
    <w:rsid w:val="00761CEA"/>
    <w:rsid w:val="00761D63"/>
    <w:rsid w:val="007664DA"/>
    <w:rsid w:val="00766DEC"/>
    <w:rsid w:val="00770082"/>
    <w:rsid w:val="00770E1A"/>
    <w:rsid w:val="00771F7D"/>
    <w:rsid w:val="0077290F"/>
    <w:rsid w:val="00772E53"/>
    <w:rsid w:val="0077334D"/>
    <w:rsid w:val="00773B37"/>
    <w:rsid w:val="0077465C"/>
    <w:rsid w:val="00774763"/>
    <w:rsid w:val="00776FE7"/>
    <w:rsid w:val="007805A2"/>
    <w:rsid w:val="007808C6"/>
    <w:rsid w:val="007810E8"/>
    <w:rsid w:val="00782B86"/>
    <w:rsid w:val="00783F88"/>
    <w:rsid w:val="00784FA9"/>
    <w:rsid w:val="0078525B"/>
    <w:rsid w:val="00792272"/>
    <w:rsid w:val="00793AC2"/>
    <w:rsid w:val="00795543"/>
    <w:rsid w:val="007A20FE"/>
    <w:rsid w:val="007A2365"/>
    <w:rsid w:val="007A29B0"/>
    <w:rsid w:val="007A6471"/>
    <w:rsid w:val="007B012B"/>
    <w:rsid w:val="007B44FC"/>
    <w:rsid w:val="007B5604"/>
    <w:rsid w:val="007B74AB"/>
    <w:rsid w:val="007B75CC"/>
    <w:rsid w:val="007B7D62"/>
    <w:rsid w:val="007C086C"/>
    <w:rsid w:val="007C1FE8"/>
    <w:rsid w:val="007C431A"/>
    <w:rsid w:val="007C45A3"/>
    <w:rsid w:val="007C6014"/>
    <w:rsid w:val="007D137A"/>
    <w:rsid w:val="007D2AC8"/>
    <w:rsid w:val="007D4F21"/>
    <w:rsid w:val="007E142C"/>
    <w:rsid w:val="007E1A66"/>
    <w:rsid w:val="007E4080"/>
    <w:rsid w:val="007E5A05"/>
    <w:rsid w:val="007E6102"/>
    <w:rsid w:val="007F0E91"/>
    <w:rsid w:val="007F1916"/>
    <w:rsid w:val="007F412A"/>
    <w:rsid w:val="007F75DB"/>
    <w:rsid w:val="00800A21"/>
    <w:rsid w:val="00800CFF"/>
    <w:rsid w:val="00806A4E"/>
    <w:rsid w:val="00812B8A"/>
    <w:rsid w:val="00813399"/>
    <w:rsid w:val="008142DE"/>
    <w:rsid w:val="008166D1"/>
    <w:rsid w:val="00816A3A"/>
    <w:rsid w:val="00817660"/>
    <w:rsid w:val="00821C2B"/>
    <w:rsid w:val="0082268F"/>
    <w:rsid w:val="00823EA5"/>
    <w:rsid w:val="008309C8"/>
    <w:rsid w:val="00833E50"/>
    <w:rsid w:val="0083570D"/>
    <w:rsid w:val="00835CA2"/>
    <w:rsid w:val="00835CA9"/>
    <w:rsid w:val="00836CB0"/>
    <w:rsid w:val="00837D44"/>
    <w:rsid w:val="0084116C"/>
    <w:rsid w:val="008427F6"/>
    <w:rsid w:val="00843CE0"/>
    <w:rsid w:val="0084637E"/>
    <w:rsid w:val="00852E64"/>
    <w:rsid w:val="0085491D"/>
    <w:rsid w:val="008557F7"/>
    <w:rsid w:val="008558AA"/>
    <w:rsid w:val="008576B3"/>
    <w:rsid w:val="00857FFC"/>
    <w:rsid w:val="00860D69"/>
    <w:rsid w:val="0086191A"/>
    <w:rsid w:val="00863720"/>
    <w:rsid w:val="00874600"/>
    <w:rsid w:val="00875316"/>
    <w:rsid w:val="0088118A"/>
    <w:rsid w:val="008819A9"/>
    <w:rsid w:val="00881B9A"/>
    <w:rsid w:val="00883F8F"/>
    <w:rsid w:val="00884968"/>
    <w:rsid w:val="00884FA9"/>
    <w:rsid w:val="00885BB5"/>
    <w:rsid w:val="00885DAE"/>
    <w:rsid w:val="00893608"/>
    <w:rsid w:val="008A0939"/>
    <w:rsid w:val="008A12C1"/>
    <w:rsid w:val="008A3ADB"/>
    <w:rsid w:val="008A5893"/>
    <w:rsid w:val="008B453A"/>
    <w:rsid w:val="008C05A4"/>
    <w:rsid w:val="008C2637"/>
    <w:rsid w:val="008C749C"/>
    <w:rsid w:val="008C7A54"/>
    <w:rsid w:val="008D4847"/>
    <w:rsid w:val="008E0E1B"/>
    <w:rsid w:val="008E2790"/>
    <w:rsid w:val="008E5619"/>
    <w:rsid w:val="008F0448"/>
    <w:rsid w:val="008F2712"/>
    <w:rsid w:val="008F4833"/>
    <w:rsid w:val="009009D3"/>
    <w:rsid w:val="00903ABB"/>
    <w:rsid w:val="00906071"/>
    <w:rsid w:val="00906A7A"/>
    <w:rsid w:val="00906FFC"/>
    <w:rsid w:val="00907339"/>
    <w:rsid w:val="009108F1"/>
    <w:rsid w:val="00911AA6"/>
    <w:rsid w:val="0091200C"/>
    <w:rsid w:val="009122FB"/>
    <w:rsid w:val="0091313D"/>
    <w:rsid w:val="009143D0"/>
    <w:rsid w:val="00916DDE"/>
    <w:rsid w:val="00920BE3"/>
    <w:rsid w:val="00921307"/>
    <w:rsid w:val="00922B90"/>
    <w:rsid w:val="00926FC6"/>
    <w:rsid w:val="00927FC5"/>
    <w:rsid w:val="00932A51"/>
    <w:rsid w:val="009350AD"/>
    <w:rsid w:val="009364E0"/>
    <w:rsid w:val="009366B7"/>
    <w:rsid w:val="00937A77"/>
    <w:rsid w:val="0094017F"/>
    <w:rsid w:val="00943ACF"/>
    <w:rsid w:val="009455D0"/>
    <w:rsid w:val="00950074"/>
    <w:rsid w:val="009534CE"/>
    <w:rsid w:val="009575D2"/>
    <w:rsid w:val="009608DC"/>
    <w:rsid w:val="009616FB"/>
    <w:rsid w:val="0096385B"/>
    <w:rsid w:val="00966482"/>
    <w:rsid w:val="00966961"/>
    <w:rsid w:val="009708D6"/>
    <w:rsid w:val="009708E2"/>
    <w:rsid w:val="00970AD8"/>
    <w:rsid w:val="00973827"/>
    <w:rsid w:val="00973D3C"/>
    <w:rsid w:val="0097511B"/>
    <w:rsid w:val="00976A88"/>
    <w:rsid w:val="00976E92"/>
    <w:rsid w:val="0098066C"/>
    <w:rsid w:val="0098328B"/>
    <w:rsid w:val="00985401"/>
    <w:rsid w:val="00990D73"/>
    <w:rsid w:val="00992255"/>
    <w:rsid w:val="00995A39"/>
    <w:rsid w:val="00995C07"/>
    <w:rsid w:val="00996E45"/>
    <w:rsid w:val="009A3DFE"/>
    <w:rsid w:val="009B109C"/>
    <w:rsid w:val="009B30E5"/>
    <w:rsid w:val="009C2770"/>
    <w:rsid w:val="009D016A"/>
    <w:rsid w:val="009D2FE8"/>
    <w:rsid w:val="009D4B45"/>
    <w:rsid w:val="009D6789"/>
    <w:rsid w:val="009D6D39"/>
    <w:rsid w:val="009E1D54"/>
    <w:rsid w:val="009E2275"/>
    <w:rsid w:val="009E41AE"/>
    <w:rsid w:val="009E4ED6"/>
    <w:rsid w:val="009E690A"/>
    <w:rsid w:val="009F2FBC"/>
    <w:rsid w:val="009F377B"/>
    <w:rsid w:val="009F524D"/>
    <w:rsid w:val="009F5896"/>
    <w:rsid w:val="009F6F26"/>
    <w:rsid w:val="00A00ECB"/>
    <w:rsid w:val="00A02E06"/>
    <w:rsid w:val="00A12AEE"/>
    <w:rsid w:val="00A12FF8"/>
    <w:rsid w:val="00A14117"/>
    <w:rsid w:val="00A16344"/>
    <w:rsid w:val="00A2286B"/>
    <w:rsid w:val="00A254D5"/>
    <w:rsid w:val="00A25743"/>
    <w:rsid w:val="00A26E6F"/>
    <w:rsid w:val="00A27929"/>
    <w:rsid w:val="00A30368"/>
    <w:rsid w:val="00A310A1"/>
    <w:rsid w:val="00A32A43"/>
    <w:rsid w:val="00A32E01"/>
    <w:rsid w:val="00A33D35"/>
    <w:rsid w:val="00A351C9"/>
    <w:rsid w:val="00A40E4B"/>
    <w:rsid w:val="00A4242C"/>
    <w:rsid w:val="00A4481F"/>
    <w:rsid w:val="00A4697C"/>
    <w:rsid w:val="00A500D1"/>
    <w:rsid w:val="00A50783"/>
    <w:rsid w:val="00A527E0"/>
    <w:rsid w:val="00A53985"/>
    <w:rsid w:val="00A542A4"/>
    <w:rsid w:val="00A61A13"/>
    <w:rsid w:val="00A62CDC"/>
    <w:rsid w:val="00A6394E"/>
    <w:rsid w:val="00A64159"/>
    <w:rsid w:val="00A6768D"/>
    <w:rsid w:val="00A70DA3"/>
    <w:rsid w:val="00A71332"/>
    <w:rsid w:val="00A71FF2"/>
    <w:rsid w:val="00A74482"/>
    <w:rsid w:val="00A81D00"/>
    <w:rsid w:val="00A8436F"/>
    <w:rsid w:val="00A85546"/>
    <w:rsid w:val="00A878AE"/>
    <w:rsid w:val="00A902B5"/>
    <w:rsid w:val="00AA1459"/>
    <w:rsid w:val="00AA3B75"/>
    <w:rsid w:val="00AA7529"/>
    <w:rsid w:val="00AA7C2B"/>
    <w:rsid w:val="00AB109D"/>
    <w:rsid w:val="00AB1543"/>
    <w:rsid w:val="00AB3025"/>
    <w:rsid w:val="00AB7017"/>
    <w:rsid w:val="00AC125D"/>
    <w:rsid w:val="00AC5473"/>
    <w:rsid w:val="00AD0EF2"/>
    <w:rsid w:val="00AD36D3"/>
    <w:rsid w:val="00AD5948"/>
    <w:rsid w:val="00AD605B"/>
    <w:rsid w:val="00AD6373"/>
    <w:rsid w:val="00AD6AAD"/>
    <w:rsid w:val="00AD7E28"/>
    <w:rsid w:val="00AE010A"/>
    <w:rsid w:val="00AE458A"/>
    <w:rsid w:val="00AE5782"/>
    <w:rsid w:val="00AE6313"/>
    <w:rsid w:val="00AF020B"/>
    <w:rsid w:val="00AF1740"/>
    <w:rsid w:val="00AF6F85"/>
    <w:rsid w:val="00B0018F"/>
    <w:rsid w:val="00B028C7"/>
    <w:rsid w:val="00B0505A"/>
    <w:rsid w:val="00B05073"/>
    <w:rsid w:val="00B108A2"/>
    <w:rsid w:val="00B11E57"/>
    <w:rsid w:val="00B149E6"/>
    <w:rsid w:val="00B174F0"/>
    <w:rsid w:val="00B216B8"/>
    <w:rsid w:val="00B22610"/>
    <w:rsid w:val="00B22EDA"/>
    <w:rsid w:val="00B233C1"/>
    <w:rsid w:val="00B241E1"/>
    <w:rsid w:val="00B315A3"/>
    <w:rsid w:val="00B342B3"/>
    <w:rsid w:val="00B346FB"/>
    <w:rsid w:val="00B35573"/>
    <w:rsid w:val="00B379B9"/>
    <w:rsid w:val="00B45BDE"/>
    <w:rsid w:val="00B46290"/>
    <w:rsid w:val="00B51226"/>
    <w:rsid w:val="00B550FA"/>
    <w:rsid w:val="00B56352"/>
    <w:rsid w:val="00B572B7"/>
    <w:rsid w:val="00B57FB3"/>
    <w:rsid w:val="00B63B3D"/>
    <w:rsid w:val="00B64204"/>
    <w:rsid w:val="00B753CA"/>
    <w:rsid w:val="00B758D0"/>
    <w:rsid w:val="00B760CE"/>
    <w:rsid w:val="00B760ED"/>
    <w:rsid w:val="00B769F7"/>
    <w:rsid w:val="00B81A02"/>
    <w:rsid w:val="00B846E0"/>
    <w:rsid w:val="00B84895"/>
    <w:rsid w:val="00B86390"/>
    <w:rsid w:val="00B901F5"/>
    <w:rsid w:val="00B9430F"/>
    <w:rsid w:val="00BA2D85"/>
    <w:rsid w:val="00BA3653"/>
    <w:rsid w:val="00BA4B6E"/>
    <w:rsid w:val="00BA5A2C"/>
    <w:rsid w:val="00BA6F81"/>
    <w:rsid w:val="00BA7FDB"/>
    <w:rsid w:val="00BB0FF4"/>
    <w:rsid w:val="00BB7AE5"/>
    <w:rsid w:val="00BB7C09"/>
    <w:rsid w:val="00BC1F80"/>
    <w:rsid w:val="00BC1FE7"/>
    <w:rsid w:val="00BC3664"/>
    <w:rsid w:val="00BC3A30"/>
    <w:rsid w:val="00BD510B"/>
    <w:rsid w:val="00BE0DBD"/>
    <w:rsid w:val="00BE3966"/>
    <w:rsid w:val="00BE4870"/>
    <w:rsid w:val="00BE780D"/>
    <w:rsid w:val="00BF1471"/>
    <w:rsid w:val="00BF3644"/>
    <w:rsid w:val="00BF5D26"/>
    <w:rsid w:val="00BF5E82"/>
    <w:rsid w:val="00C005F6"/>
    <w:rsid w:val="00C024A2"/>
    <w:rsid w:val="00C032B0"/>
    <w:rsid w:val="00C03D04"/>
    <w:rsid w:val="00C04287"/>
    <w:rsid w:val="00C055D3"/>
    <w:rsid w:val="00C123D5"/>
    <w:rsid w:val="00C14A7C"/>
    <w:rsid w:val="00C15560"/>
    <w:rsid w:val="00C16653"/>
    <w:rsid w:val="00C17830"/>
    <w:rsid w:val="00C17D43"/>
    <w:rsid w:val="00C21BD8"/>
    <w:rsid w:val="00C21BF1"/>
    <w:rsid w:val="00C230AF"/>
    <w:rsid w:val="00C33B51"/>
    <w:rsid w:val="00C37086"/>
    <w:rsid w:val="00C47D27"/>
    <w:rsid w:val="00C51867"/>
    <w:rsid w:val="00C52ECC"/>
    <w:rsid w:val="00C53B0C"/>
    <w:rsid w:val="00C545F3"/>
    <w:rsid w:val="00C56B26"/>
    <w:rsid w:val="00C5738F"/>
    <w:rsid w:val="00C57AA6"/>
    <w:rsid w:val="00C6245A"/>
    <w:rsid w:val="00C63356"/>
    <w:rsid w:val="00C63DA6"/>
    <w:rsid w:val="00C665CA"/>
    <w:rsid w:val="00C67021"/>
    <w:rsid w:val="00C70288"/>
    <w:rsid w:val="00C71B4E"/>
    <w:rsid w:val="00C71EBA"/>
    <w:rsid w:val="00C72650"/>
    <w:rsid w:val="00C72814"/>
    <w:rsid w:val="00C72F5A"/>
    <w:rsid w:val="00C7335D"/>
    <w:rsid w:val="00C76016"/>
    <w:rsid w:val="00C7664A"/>
    <w:rsid w:val="00C8074A"/>
    <w:rsid w:val="00C80EC5"/>
    <w:rsid w:val="00C8302C"/>
    <w:rsid w:val="00C84276"/>
    <w:rsid w:val="00C84DFB"/>
    <w:rsid w:val="00C8534E"/>
    <w:rsid w:val="00C90E0A"/>
    <w:rsid w:val="00C94480"/>
    <w:rsid w:val="00C95A26"/>
    <w:rsid w:val="00C96C39"/>
    <w:rsid w:val="00CA2F73"/>
    <w:rsid w:val="00CA30E7"/>
    <w:rsid w:val="00CA33D8"/>
    <w:rsid w:val="00CA4059"/>
    <w:rsid w:val="00CA6303"/>
    <w:rsid w:val="00CB079C"/>
    <w:rsid w:val="00CB0CE0"/>
    <w:rsid w:val="00CB2613"/>
    <w:rsid w:val="00CB76E9"/>
    <w:rsid w:val="00CC0FCC"/>
    <w:rsid w:val="00CC1E54"/>
    <w:rsid w:val="00CC25B8"/>
    <w:rsid w:val="00CC3D6C"/>
    <w:rsid w:val="00CC5E0B"/>
    <w:rsid w:val="00CC66E2"/>
    <w:rsid w:val="00CD5E1B"/>
    <w:rsid w:val="00CE0D68"/>
    <w:rsid w:val="00CE1FB2"/>
    <w:rsid w:val="00CE3A44"/>
    <w:rsid w:val="00CE44A1"/>
    <w:rsid w:val="00CE5EF5"/>
    <w:rsid w:val="00CF0454"/>
    <w:rsid w:val="00CF1C57"/>
    <w:rsid w:val="00CF388A"/>
    <w:rsid w:val="00CF5E37"/>
    <w:rsid w:val="00CF6172"/>
    <w:rsid w:val="00D0225A"/>
    <w:rsid w:val="00D106B7"/>
    <w:rsid w:val="00D10828"/>
    <w:rsid w:val="00D10983"/>
    <w:rsid w:val="00D11607"/>
    <w:rsid w:val="00D11ACE"/>
    <w:rsid w:val="00D12337"/>
    <w:rsid w:val="00D13B00"/>
    <w:rsid w:val="00D205B1"/>
    <w:rsid w:val="00D20A5D"/>
    <w:rsid w:val="00D221F6"/>
    <w:rsid w:val="00D2308C"/>
    <w:rsid w:val="00D23209"/>
    <w:rsid w:val="00D23D92"/>
    <w:rsid w:val="00D24C2B"/>
    <w:rsid w:val="00D26FC2"/>
    <w:rsid w:val="00D306DD"/>
    <w:rsid w:val="00D30B92"/>
    <w:rsid w:val="00D31D31"/>
    <w:rsid w:val="00D31E71"/>
    <w:rsid w:val="00D33D62"/>
    <w:rsid w:val="00D342B5"/>
    <w:rsid w:val="00D3469D"/>
    <w:rsid w:val="00D4132E"/>
    <w:rsid w:val="00D43613"/>
    <w:rsid w:val="00D52502"/>
    <w:rsid w:val="00D544BC"/>
    <w:rsid w:val="00D548FA"/>
    <w:rsid w:val="00D56539"/>
    <w:rsid w:val="00D603AE"/>
    <w:rsid w:val="00D64A9A"/>
    <w:rsid w:val="00D703DD"/>
    <w:rsid w:val="00D705CC"/>
    <w:rsid w:val="00D76357"/>
    <w:rsid w:val="00D77700"/>
    <w:rsid w:val="00D82546"/>
    <w:rsid w:val="00D83F28"/>
    <w:rsid w:val="00D87EBC"/>
    <w:rsid w:val="00D90962"/>
    <w:rsid w:val="00D94759"/>
    <w:rsid w:val="00D95055"/>
    <w:rsid w:val="00DA0393"/>
    <w:rsid w:val="00DA0BFC"/>
    <w:rsid w:val="00DA10B3"/>
    <w:rsid w:val="00DA35A2"/>
    <w:rsid w:val="00DA5B29"/>
    <w:rsid w:val="00DA7E9E"/>
    <w:rsid w:val="00DB1C78"/>
    <w:rsid w:val="00DB2256"/>
    <w:rsid w:val="00DB4E33"/>
    <w:rsid w:val="00DB62D2"/>
    <w:rsid w:val="00DB76F6"/>
    <w:rsid w:val="00DC0EC4"/>
    <w:rsid w:val="00DC4384"/>
    <w:rsid w:val="00DC5027"/>
    <w:rsid w:val="00DC6200"/>
    <w:rsid w:val="00DC6495"/>
    <w:rsid w:val="00DC761D"/>
    <w:rsid w:val="00DD10B4"/>
    <w:rsid w:val="00DD221D"/>
    <w:rsid w:val="00DD287C"/>
    <w:rsid w:val="00DD35E9"/>
    <w:rsid w:val="00DD3953"/>
    <w:rsid w:val="00DE05F7"/>
    <w:rsid w:val="00DE3EEF"/>
    <w:rsid w:val="00DE3F57"/>
    <w:rsid w:val="00DE425A"/>
    <w:rsid w:val="00DE72F9"/>
    <w:rsid w:val="00DF0BFE"/>
    <w:rsid w:val="00DF3422"/>
    <w:rsid w:val="00DF653D"/>
    <w:rsid w:val="00E02FC7"/>
    <w:rsid w:val="00E03A1D"/>
    <w:rsid w:val="00E04728"/>
    <w:rsid w:val="00E0528A"/>
    <w:rsid w:val="00E05EA8"/>
    <w:rsid w:val="00E12EB3"/>
    <w:rsid w:val="00E13359"/>
    <w:rsid w:val="00E14B19"/>
    <w:rsid w:val="00E156B9"/>
    <w:rsid w:val="00E159D5"/>
    <w:rsid w:val="00E1615E"/>
    <w:rsid w:val="00E171DE"/>
    <w:rsid w:val="00E17E23"/>
    <w:rsid w:val="00E21350"/>
    <w:rsid w:val="00E272EA"/>
    <w:rsid w:val="00E27B1D"/>
    <w:rsid w:val="00E27F04"/>
    <w:rsid w:val="00E303CE"/>
    <w:rsid w:val="00E31088"/>
    <w:rsid w:val="00E334F9"/>
    <w:rsid w:val="00E3391A"/>
    <w:rsid w:val="00E3709B"/>
    <w:rsid w:val="00E41B5C"/>
    <w:rsid w:val="00E42A01"/>
    <w:rsid w:val="00E44931"/>
    <w:rsid w:val="00E46A72"/>
    <w:rsid w:val="00E55710"/>
    <w:rsid w:val="00E55F29"/>
    <w:rsid w:val="00E56A77"/>
    <w:rsid w:val="00E56D26"/>
    <w:rsid w:val="00E57376"/>
    <w:rsid w:val="00E61476"/>
    <w:rsid w:val="00E61612"/>
    <w:rsid w:val="00E62761"/>
    <w:rsid w:val="00E6492E"/>
    <w:rsid w:val="00E64BD8"/>
    <w:rsid w:val="00E66166"/>
    <w:rsid w:val="00E67158"/>
    <w:rsid w:val="00E70FD7"/>
    <w:rsid w:val="00E74833"/>
    <w:rsid w:val="00E777A5"/>
    <w:rsid w:val="00E84668"/>
    <w:rsid w:val="00E8470A"/>
    <w:rsid w:val="00E87196"/>
    <w:rsid w:val="00E92880"/>
    <w:rsid w:val="00E95107"/>
    <w:rsid w:val="00E95C75"/>
    <w:rsid w:val="00EA1DAD"/>
    <w:rsid w:val="00EA5990"/>
    <w:rsid w:val="00EA767F"/>
    <w:rsid w:val="00EA7C40"/>
    <w:rsid w:val="00EB04E7"/>
    <w:rsid w:val="00EB0818"/>
    <w:rsid w:val="00EB0B24"/>
    <w:rsid w:val="00EB1A3F"/>
    <w:rsid w:val="00EB631A"/>
    <w:rsid w:val="00EB6736"/>
    <w:rsid w:val="00EC0813"/>
    <w:rsid w:val="00EC34FB"/>
    <w:rsid w:val="00EC3936"/>
    <w:rsid w:val="00EC7C22"/>
    <w:rsid w:val="00ED0E44"/>
    <w:rsid w:val="00ED143D"/>
    <w:rsid w:val="00ED419F"/>
    <w:rsid w:val="00ED7C34"/>
    <w:rsid w:val="00ED7CE7"/>
    <w:rsid w:val="00EE0BCB"/>
    <w:rsid w:val="00EE3AAA"/>
    <w:rsid w:val="00EE5A90"/>
    <w:rsid w:val="00EF0396"/>
    <w:rsid w:val="00EF098D"/>
    <w:rsid w:val="00EF380B"/>
    <w:rsid w:val="00EF525C"/>
    <w:rsid w:val="00EF5A45"/>
    <w:rsid w:val="00EF5B83"/>
    <w:rsid w:val="00F02697"/>
    <w:rsid w:val="00F02975"/>
    <w:rsid w:val="00F05330"/>
    <w:rsid w:val="00F12E18"/>
    <w:rsid w:val="00F147A8"/>
    <w:rsid w:val="00F21BE3"/>
    <w:rsid w:val="00F229A3"/>
    <w:rsid w:val="00F22B5A"/>
    <w:rsid w:val="00F256CC"/>
    <w:rsid w:val="00F264F2"/>
    <w:rsid w:val="00F34E23"/>
    <w:rsid w:val="00F35634"/>
    <w:rsid w:val="00F35E69"/>
    <w:rsid w:val="00F40CCE"/>
    <w:rsid w:val="00F437E1"/>
    <w:rsid w:val="00F440F6"/>
    <w:rsid w:val="00F4443F"/>
    <w:rsid w:val="00F470F8"/>
    <w:rsid w:val="00F472DB"/>
    <w:rsid w:val="00F503FF"/>
    <w:rsid w:val="00F50D45"/>
    <w:rsid w:val="00F53190"/>
    <w:rsid w:val="00F629D5"/>
    <w:rsid w:val="00F64572"/>
    <w:rsid w:val="00F71568"/>
    <w:rsid w:val="00F71FFC"/>
    <w:rsid w:val="00F74B99"/>
    <w:rsid w:val="00F75859"/>
    <w:rsid w:val="00F767EA"/>
    <w:rsid w:val="00F81052"/>
    <w:rsid w:val="00F82E1A"/>
    <w:rsid w:val="00F90334"/>
    <w:rsid w:val="00F92FC6"/>
    <w:rsid w:val="00F9573A"/>
    <w:rsid w:val="00F95ED2"/>
    <w:rsid w:val="00FA01B2"/>
    <w:rsid w:val="00FA123F"/>
    <w:rsid w:val="00FA5AC4"/>
    <w:rsid w:val="00FA5F24"/>
    <w:rsid w:val="00FA6EE2"/>
    <w:rsid w:val="00FB1268"/>
    <w:rsid w:val="00FB2FF1"/>
    <w:rsid w:val="00FB5B2A"/>
    <w:rsid w:val="00FB76B3"/>
    <w:rsid w:val="00FB7D3C"/>
    <w:rsid w:val="00FC4982"/>
    <w:rsid w:val="00FC4AD9"/>
    <w:rsid w:val="00FC5F36"/>
    <w:rsid w:val="00FC646E"/>
    <w:rsid w:val="00FD20EE"/>
    <w:rsid w:val="00FD24A7"/>
    <w:rsid w:val="00FD4C0A"/>
    <w:rsid w:val="00FE0B52"/>
    <w:rsid w:val="00FE3D57"/>
    <w:rsid w:val="00FE4574"/>
    <w:rsid w:val="00FE6804"/>
    <w:rsid w:val="00FE704F"/>
    <w:rsid w:val="00FF0B2D"/>
    <w:rsid w:val="00FF61E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2B3A1DD"/>
  <w15:docId w15:val="{BF8E72C1-9E22-48FB-ACEA-D52959E2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01"/>
    <w:pPr>
      <w:keepLines/>
      <w:spacing w:after="240"/>
    </w:pPr>
    <w:rPr>
      <w:rFonts w:ascii="Palatino Linotype" w:hAnsi="Palatino Linotype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455D0"/>
    <w:pPr>
      <w:keepNext/>
      <w:pageBreakBefore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480" w:after="180"/>
      <w:outlineLvl w:val="0"/>
    </w:pPr>
    <w:rPr>
      <w:rFonts w:ascii="Tahoma" w:eastAsia="Times New Roman" w:hAnsi="Tahoma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29A3"/>
    <w:pPr>
      <w:keepNext/>
      <w:spacing w:before="240" w:after="60"/>
      <w:outlineLvl w:val="1"/>
    </w:pPr>
    <w:rPr>
      <w:rFonts w:ascii="Tahoma" w:eastAsia="Times New Roman" w:hAnsi="Tahoma"/>
      <w:b/>
      <w:bCs/>
      <w:iCs/>
      <w:color w:val="365F91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5E82"/>
    <w:pPr>
      <w:keepNext/>
      <w:spacing w:before="240" w:after="40"/>
      <w:outlineLvl w:val="2"/>
    </w:pPr>
    <w:rPr>
      <w:rFonts w:ascii="Tahoma" w:eastAsia="Times New Roman" w:hAnsi="Tahoma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780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B00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72F5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55D0"/>
    <w:rPr>
      <w:rFonts w:ascii="Tahoma" w:eastAsia="Times New Roman" w:hAnsi="Tahoma"/>
      <w:b/>
      <w:bCs/>
      <w:kern w:val="36"/>
      <w:sz w:val="22"/>
      <w:szCs w:val="48"/>
      <w:shd w:val="pct15" w:color="auto" w:fill="auto"/>
    </w:rPr>
  </w:style>
  <w:style w:type="character" w:customStyle="1" w:styleId="Heading2Char">
    <w:name w:val="Heading 2 Char"/>
    <w:link w:val="Heading2"/>
    <w:uiPriority w:val="9"/>
    <w:rsid w:val="00F229A3"/>
    <w:rPr>
      <w:rFonts w:ascii="Tahoma" w:eastAsia="Times New Roman" w:hAnsi="Tahoma"/>
      <w:b/>
      <w:bCs/>
      <w:iCs/>
      <w:color w:val="365F91"/>
      <w:sz w:val="22"/>
      <w:szCs w:val="28"/>
    </w:rPr>
  </w:style>
  <w:style w:type="character" w:customStyle="1" w:styleId="Heading3Char">
    <w:name w:val="Heading 3 Char"/>
    <w:link w:val="Heading3"/>
    <w:uiPriority w:val="9"/>
    <w:rsid w:val="00BF5E82"/>
    <w:rPr>
      <w:rFonts w:ascii="Tahoma" w:eastAsia="Times New Roman" w:hAnsi="Tahoma"/>
      <w:bCs/>
      <w:i/>
      <w:sz w:val="22"/>
      <w:szCs w:val="26"/>
    </w:rPr>
  </w:style>
  <w:style w:type="character" w:styleId="Emphasis">
    <w:name w:val="Emphasis"/>
    <w:uiPriority w:val="20"/>
    <w:qFormat/>
    <w:rsid w:val="00243C1D"/>
    <w:rPr>
      <w:b/>
      <w:iCs/>
    </w:rPr>
  </w:style>
  <w:style w:type="character" w:styleId="Hyperlink">
    <w:name w:val="Hyperlink"/>
    <w:uiPriority w:val="99"/>
    <w:unhideWhenUsed/>
    <w:rsid w:val="00243C1D"/>
    <w:rPr>
      <w:color w:val="0000FF"/>
      <w:u w:val="single"/>
    </w:rPr>
  </w:style>
  <w:style w:type="paragraph" w:customStyle="1" w:styleId="Abstract">
    <w:name w:val="Abstract"/>
    <w:basedOn w:val="Normal"/>
    <w:qFormat/>
    <w:rsid w:val="00647C01"/>
    <w:pPr>
      <w:framePr w:hSpace="187" w:wrap="around" w:hAnchor="margin" w:xAlign="center" w:yAlign="bottom"/>
    </w:pPr>
  </w:style>
  <w:style w:type="paragraph" w:customStyle="1" w:styleId="OfficeandModifyDate">
    <w:name w:val="Office and Modify Date"/>
    <w:basedOn w:val="Normal"/>
    <w:qFormat/>
    <w:rsid w:val="00647C01"/>
    <w:pPr>
      <w:spacing w:after="0"/>
      <w:jc w:val="center"/>
    </w:pPr>
    <w:rPr>
      <w:rFonts w:ascii="Trebuchet MS" w:hAnsi="Trebuchet MS"/>
      <w:bCs/>
      <w:sz w:val="26"/>
      <w:szCs w:val="26"/>
    </w:rPr>
  </w:style>
  <w:style w:type="paragraph" w:customStyle="1" w:styleId="Note">
    <w:name w:val="Note"/>
    <w:basedOn w:val="Normal"/>
    <w:next w:val="Normal"/>
    <w:qFormat/>
    <w:rsid w:val="003C4D4B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7F9FF"/>
      <w:spacing w:before="100" w:beforeAutospacing="1" w:after="100" w:afterAutospacing="1"/>
      <w:ind w:left="576" w:right="576"/>
      <w:jc w:val="both"/>
    </w:pPr>
    <w:rPr>
      <w:rFonts w:eastAsia="Times New Roman" w:cs="Arial"/>
      <w:bCs/>
      <w:iCs/>
    </w:rPr>
  </w:style>
  <w:style w:type="paragraph" w:customStyle="1" w:styleId="Default">
    <w:name w:val="Default"/>
    <w:rsid w:val="00E95C75"/>
    <w:pPr>
      <w:autoSpaceDE w:val="0"/>
      <w:autoSpaceDN w:val="0"/>
      <w:adjustRightInd w:val="0"/>
    </w:pPr>
    <w:rPr>
      <w:rFonts w:ascii="LFJEOP+TimesNewRoman" w:eastAsia="Times New Roman" w:hAnsi="LFJEOP+TimesNewRoman" w:cs="LFJEOP+TimesNewRoman"/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E95C75"/>
    <w:rPr>
      <w:rFonts w:cs="Times New Roman"/>
      <w:color w:val="auto"/>
    </w:rPr>
  </w:style>
  <w:style w:type="paragraph" w:styleId="ListBullet">
    <w:name w:val="List Bullet"/>
    <w:basedOn w:val="Normal"/>
    <w:uiPriority w:val="99"/>
    <w:unhideWhenUsed/>
    <w:rsid w:val="00B760CE"/>
    <w:pPr>
      <w:numPr>
        <w:numId w:val="1"/>
      </w:numPr>
      <w:spacing w:after="0"/>
      <w:contextualSpacing/>
    </w:pPr>
  </w:style>
  <w:style w:type="paragraph" w:customStyle="1" w:styleId="Blockquote">
    <w:name w:val="Blockquote"/>
    <w:basedOn w:val="Normal"/>
    <w:rsid w:val="003C4D4B"/>
    <w:pPr>
      <w:spacing w:before="100" w:beforeAutospacing="1" w:after="100" w:afterAutospacing="1"/>
      <w:ind w:left="720" w:right="720"/>
    </w:pPr>
    <w:rPr>
      <w:rFonts w:eastAsia="Times New Roman" w:cs="Arial"/>
      <w:szCs w:val="20"/>
    </w:rPr>
  </w:style>
  <w:style w:type="paragraph" w:styleId="ListBullet2">
    <w:name w:val="List Bullet 2"/>
    <w:basedOn w:val="Normal"/>
    <w:uiPriority w:val="99"/>
    <w:unhideWhenUsed/>
    <w:rsid w:val="00B760CE"/>
    <w:pPr>
      <w:numPr>
        <w:numId w:val="2"/>
      </w:numPr>
      <w:contextualSpacing/>
    </w:pPr>
  </w:style>
  <w:style w:type="character" w:styleId="IntenseEmphasis">
    <w:name w:val="Intense Emphasis"/>
    <w:uiPriority w:val="21"/>
    <w:qFormat/>
    <w:rsid w:val="003A4407"/>
    <w:rPr>
      <w:b/>
      <w:bCs/>
      <w:u w:val="single"/>
    </w:rPr>
  </w:style>
  <w:style w:type="character" w:customStyle="1" w:styleId="DocumentTitle">
    <w:name w:val="Document Title"/>
    <w:uiPriority w:val="1"/>
    <w:qFormat/>
    <w:rsid w:val="00243C1D"/>
    <w:rPr>
      <w:i/>
    </w:rPr>
  </w:style>
  <w:style w:type="character" w:customStyle="1" w:styleId="TableHeading">
    <w:name w:val="Table Heading"/>
    <w:uiPriority w:val="1"/>
    <w:rsid w:val="003C4D4B"/>
    <w:rPr>
      <w:rFonts w:ascii="Times New Roman" w:hAnsi="Times New Roman"/>
      <w:b/>
      <w:sz w:val="24"/>
      <w:szCs w:val="26"/>
    </w:rPr>
  </w:style>
  <w:style w:type="paragraph" w:customStyle="1" w:styleId="TableText">
    <w:name w:val="Table Text"/>
    <w:basedOn w:val="Normal"/>
    <w:rsid w:val="00243C1D"/>
    <w:pPr>
      <w:jc w:val="center"/>
    </w:pPr>
    <w:rPr>
      <w:rFonts w:eastAsia="Times New Roman"/>
      <w:szCs w:val="24"/>
    </w:rPr>
  </w:style>
  <w:style w:type="paragraph" w:customStyle="1" w:styleId="Reference">
    <w:name w:val="Reference"/>
    <w:basedOn w:val="Normal"/>
    <w:qFormat/>
    <w:rsid w:val="00243C1D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3C4D4B"/>
    <w:pPr>
      <w:tabs>
        <w:tab w:val="center" w:pos="4680"/>
        <w:tab w:val="right" w:pos="9360"/>
      </w:tabs>
      <w:spacing w:after="0"/>
      <w:jc w:val="center"/>
    </w:pPr>
    <w:rPr>
      <w:sz w:val="20"/>
    </w:rPr>
  </w:style>
  <w:style w:type="character" w:customStyle="1" w:styleId="HeaderChar">
    <w:name w:val="Header Char"/>
    <w:link w:val="Header"/>
    <w:uiPriority w:val="99"/>
    <w:rsid w:val="003C4D4B"/>
    <w:rPr>
      <w:rFonts w:ascii="Palatino Linotype" w:hAnsi="Palatino Linotype"/>
      <w:szCs w:val="22"/>
    </w:rPr>
  </w:style>
  <w:style w:type="paragraph" w:styleId="Footer">
    <w:name w:val="footer"/>
    <w:basedOn w:val="Normal"/>
    <w:link w:val="FooterChar"/>
    <w:uiPriority w:val="99"/>
    <w:unhideWhenUsed/>
    <w:rsid w:val="00647C01"/>
    <w:pPr>
      <w:tabs>
        <w:tab w:val="center" w:pos="4680"/>
        <w:tab w:val="right" w:pos="9360"/>
      </w:tabs>
      <w:spacing w:after="0"/>
      <w:jc w:val="center"/>
    </w:pPr>
    <w:rPr>
      <w:sz w:val="20"/>
    </w:rPr>
  </w:style>
  <w:style w:type="character" w:customStyle="1" w:styleId="FooterChar">
    <w:name w:val="Footer Char"/>
    <w:link w:val="Footer"/>
    <w:uiPriority w:val="99"/>
    <w:rsid w:val="00647C01"/>
    <w:rPr>
      <w:rFonts w:ascii="Palatino Linotype" w:hAnsi="Palatino Linotype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47C01"/>
    <w:pPr>
      <w:tabs>
        <w:tab w:val="left" w:pos="660"/>
        <w:tab w:val="right" w:leader="dot" w:pos="9350"/>
      </w:tabs>
      <w:spacing w:before="120" w:after="120"/>
    </w:pPr>
    <w:rPr>
      <w:b/>
      <w:bCs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47808"/>
    <w:pPr>
      <w:spacing w:after="0"/>
      <w:ind w:left="22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7808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47C01"/>
    <w:pPr>
      <w:spacing w:before="240" w:after="60"/>
      <w:jc w:val="center"/>
    </w:pPr>
    <w:rPr>
      <w:rFonts w:ascii="Shruti" w:eastAsia="Times New Roman" w:hAnsi="Shruti"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647C01"/>
    <w:rPr>
      <w:rFonts w:ascii="Shruti" w:eastAsia="Times New Roman" w:hAnsi="Shruti" w:cs="Arial"/>
      <w:b/>
      <w:bCs/>
      <w:kern w:val="28"/>
      <w:sz w:val="28"/>
      <w:szCs w:val="32"/>
    </w:rPr>
  </w:style>
  <w:style w:type="paragraph" w:customStyle="1" w:styleId="TOCTitle">
    <w:name w:val="TOC Title"/>
    <w:basedOn w:val="Title"/>
    <w:rsid w:val="00243C1D"/>
    <w:pPr>
      <w:jc w:val="left"/>
    </w:pPr>
    <w:rPr>
      <w:rFonts w:ascii="Times New Roman" w:eastAsia="Calibri" w:hAnsi="Times New Roman"/>
      <w:sz w:val="36"/>
    </w:rPr>
  </w:style>
  <w:style w:type="paragraph" w:styleId="Index1">
    <w:name w:val="index 1"/>
    <w:basedOn w:val="Normal"/>
    <w:next w:val="Normal"/>
    <w:autoRedefine/>
    <w:uiPriority w:val="99"/>
    <w:unhideWhenUsed/>
    <w:rsid w:val="00243C1D"/>
    <w:pPr>
      <w:spacing w:after="0"/>
      <w:ind w:left="240" w:hanging="24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243C1D"/>
    <w:pPr>
      <w:pBdr>
        <w:top w:val="single" w:sz="12" w:space="0" w:color="auto"/>
      </w:pBdr>
      <w:spacing w:before="360"/>
    </w:pPr>
    <w:rPr>
      <w:rFonts w:ascii="Calibri" w:hAnsi="Calibri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rsid w:val="00347808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3C1D"/>
    <w:rPr>
      <w:rFonts w:ascii="Tahoma" w:eastAsia="Calibri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E61612"/>
    <w:pPr>
      <w:spacing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61612"/>
    <w:pPr>
      <w:spacing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61612"/>
    <w:pPr>
      <w:spacing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61612"/>
    <w:pPr>
      <w:spacing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61612"/>
    <w:pPr>
      <w:spacing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61612"/>
    <w:pPr>
      <w:spacing w:after="0"/>
      <w:ind w:left="1760"/>
    </w:pPr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1"/>
    <w:rsid w:val="00295038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dex2">
    <w:name w:val="index 2"/>
    <w:basedOn w:val="Normal"/>
    <w:next w:val="Normal"/>
    <w:autoRedefine/>
    <w:uiPriority w:val="99"/>
    <w:unhideWhenUsed/>
    <w:rsid w:val="00295038"/>
    <w:pPr>
      <w:spacing w:after="0"/>
      <w:ind w:left="480" w:hanging="24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295038"/>
    <w:pPr>
      <w:spacing w:after="0"/>
      <w:ind w:left="720" w:hanging="24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295038"/>
    <w:pPr>
      <w:spacing w:after="0"/>
      <w:ind w:left="960" w:hanging="24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295038"/>
    <w:pPr>
      <w:spacing w:after="0"/>
      <w:ind w:left="1200" w:hanging="24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295038"/>
    <w:pPr>
      <w:spacing w:after="0"/>
      <w:ind w:left="1440" w:hanging="24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295038"/>
    <w:pPr>
      <w:spacing w:after="0"/>
      <w:ind w:left="1680" w:hanging="24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295038"/>
    <w:pPr>
      <w:spacing w:after="0"/>
      <w:ind w:left="1920" w:hanging="24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295038"/>
    <w:pPr>
      <w:spacing w:after="0"/>
      <w:ind w:left="2160" w:hanging="240"/>
    </w:pPr>
    <w:rPr>
      <w:rFonts w:ascii="Calibri" w:hAnsi="Calibri"/>
      <w:sz w:val="18"/>
      <w:szCs w:val="18"/>
    </w:rPr>
  </w:style>
  <w:style w:type="paragraph" w:customStyle="1" w:styleId="TOCHeading1">
    <w:name w:val="TOC Heading1"/>
    <w:basedOn w:val="Normal"/>
    <w:link w:val="ToCHeadingChar"/>
    <w:qFormat/>
    <w:rsid w:val="00347808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</w:pPr>
    <w:rPr>
      <w:rFonts w:ascii="Tahoma" w:hAnsi="Tahoma"/>
      <w:b/>
      <w:sz w:val="24"/>
    </w:rPr>
  </w:style>
  <w:style w:type="character" w:customStyle="1" w:styleId="apple-style-span">
    <w:name w:val="apple-style-span"/>
    <w:basedOn w:val="DefaultParagraphFont"/>
    <w:rsid w:val="009F377B"/>
  </w:style>
  <w:style w:type="character" w:customStyle="1" w:styleId="ToCHeadingChar">
    <w:name w:val="ToC Heading Char"/>
    <w:link w:val="TOCHeading1"/>
    <w:rsid w:val="00347808"/>
    <w:rPr>
      <w:rFonts w:ascii="Tahoma" w:hAnsi="Tahoma"/>
      <w:b/>
      <w:bCs/>
      <w:kern w:val="36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3AE"/>
    <w:pPr>
      <w:keepLines w:val="0"/>
      <w:spacing w:before="240" w:after="0"/>
      <w:jc w:val="center"/>
    </w:pPr>
    <w:rPr>
      <w:rFonts w:ascii="Trebuchet MS" w:eastAsia="Times New Roman" w:hAnsi="Trebuchet MS" w:cs="Arial"/>
      <w:sz w:val="44"/>
      <w:szCs w:val="44"/>
    </w:rPr>
  </w:style>
  <w:style w:type="character" w:customStyle="1" w:styleId="SubtitleChar">
    <w:name w:val="Subtitle Char"/>
    <w:link w:val="Subtitle"/>
    <w:uiPriority w:val="11"/>
    <w:rsid w:val="0085491D"/>
    <w:rPr>
      <w:rFonts w:ascii="Trebuchet MS" w:eastAsia="Times New Roman" w:hAnsi="Trebuchet MS" w:cs="Arial"/>
      <w:sz w:val="44"/>
      <w:szCs w:val="44"/>
    </w:rPr>
  </w:style>
  <w:style w:type="paragraph" w:styleId="BodyText3">
    <w:name w:val="Body Text 3"/>
    <w:basedOn w:val="Default"/>
    <w:next w:val="Default"/>
    <w:rsid w:val="00E95C75"/>
    <w:rPr>
      <w:rFonts w:cs="Times New Roman"/>
      <w:color w:val="auto"/>
    </w:rPr>
  </w:style>
  <w:style w:type="paragraph" w:styleId="BodyText2">
    <w:name w:val="Body Text 2"/>
    <w:basedOn w:val="Default"/>
    <w:next w:val="Default"/>
    <w:rsid w:val="00E95C75"/>
    <w:rPr>
      <w:rFonts w:cs="Times New Roman"/>
      <w:color w:val="auto"/>
    </w:rPr>
  </w:style>
  <w:style w:type="paragraph" w:styleId="BodyTextIndent">
    <w:name w:val="Body Text Indent"/>
    <w:basedOn w:val="Normal"/>
    <w:rsid w:val="00C72F5A"/>
    <w:pPr>
      <w:spacing w:after="120"/>
      <w:ind w:left="360"/>
    </w:pPr>
  </w:style>
  <w:style w:type="paragraph" w:styleId="BodyTextIndent2">
    <w:name w:val="Body Text Indent 2"/>
    <w:basedOn w:val="Normal"/>
    <w:rsid w:val="00C72F5A"/>
    <w:pPr>
      <w:spacing w:after="120" w:line="480" w:lineRule="auto"/>
      <w:ind w:left="360"/>
    </w:pPr>
  </w:style>
  <w:style w:type="paragraph" w:styleId="ListContinue4">
    <w:name w:val="List Continue 4"/>
    <w:basedOn w:val="Default"/>
    <w:next w:val="Default"/>
    <w:rsid w:val="00C72F5A"/>
    <w:rPr>
      <w:rFonts w:cs="Times New Roman"/>
      <w:color w:val="auto"/>
    </w:rPr>
  </w:style>
  <w:style w:type="paragraph" w:styleId="BodyTextIndent3">
    <w:name w:val="Body Text Indent 3"/>
    <w:basedOn w:val="Normal"/>
    <w:rsid w:val="005122A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Default"/>
    <w:next w:val="Default"/>
    <w:qFormat/>
    <w:rsid w:val="00D10983"/>
    <w:rPr>
      <w:rFonts w:cs="Times New Roman"/>
      <w:color w:val="auto"/>
    </w:rPr>
  </w:style>
  <w:style w:type="paragraph" w:styleId="List5">
    <w:name w:val="List 5"/>
    <w:basedOn w:val="Normal"/>
    <w:rsid w:val="004B002B"/>
    <w:pPr>
      <w:ind w:left="1800" w:hanging="360"/>
    </w:pPr>
  </w:style>
  <w:style w:type="character" w:styleId="FollowedHyperlink">
    <w:name w:val="FollowedHyperlink"/>
    <w:basedOn w:val="DefaultParagraphFont"/>
    <w:uiPriority w:val="99"/>
    <w:semiHidden/>
    <w:unhideWhenUsed/>
    <w:rsid w:val="00506AA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F0B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33F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33F"/>
    <w:rPr>
      <w:rFonts w:ascii="Palatino Linotype" w:hAnsi="Palatino Linotype"/>
      <w:b/>
      <w:bCs/>
    </w:rPr>
  </w:style>
  <w:style w:type="paragraph" w:styleId="NormalWeb">
    <w:name w:val="Normal (Web)"/>
    <w:basedOn w:val="Normal"/>
    <w:uiPriority w:val="99"/>
    <w:unhideWhenUsed/>
    <w:rsid w:val="005D41DB"/>
    <w:pPr>
      <w:keepLine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441"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441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3A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mt.edu/finance/travel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mt.edu/finance/payroll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mt.edu/finance/accounts-payable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9C21-441D-45BE-A5EB-61954CC5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 Business Office</Company>
  <LinksUpToDate>false</LinksUpToDate>
  <CharactersWithSpaces>12455</CharactersWithSpaces>
  <SharedDoc>false</SharedDoc>
  <HLinks>
    <vt:vector size="42" baseType="variant"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1703965</vt:i4>
      </vt:variant>
      <vt:variant>
        <vt:i4>18</vt:i4>
      </vt:variant>
      <vt:variant>
        <vt:i4>0</vt:i4>
      </vt:variant>
      <vt:variant>
        <vt:i4>5</vt:i4>
      </vt:variant>
      <vt:variant>
        <vt:lpwstr>http://www.gsa.gov/portal/content/103191</vt:lpwstr>
      </vt:variant>
      <vt:variant>
        <vt:lpwstr/>
      </vt:variant>
      <vt:variant>
        <vt:i4>5046273</vt:i4>
      </vt:variant>
      <vt:variant>
        <vt:i4>15</vt:i4>
      </vt:variant>
      <vt:variant>
        <vt:i4>0</vt:i4>
      </vt:variant>
      <vt:variant>
        <vt:i4>5</vt:i4>
      </vt:variant>
      <vt:variant>
        <vt:lpwstr>https://www.fedrooms.com/</vt:lpwstr>
      </vt:variant>
      <vt:variant>
        <vt:lpwstr/>
      </vt:variant>
      <vt:variant>
        <vt:i4>3932258</vt:i4>
      </vt:variant>
      <vt:variant>
        <vt:i4>12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_Toc258170451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_Toc258170453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_Toc258170450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 Stewart</dc:creator>
  <cp:lastModifiedBy>Ma, Shaojie </cp:lastModifiedBy>
  <cp:revision>21</cp:revision>
  <cp:lastPrinted>2022-06-03T19:48:00Z</cp:lastPrinted>
  <dcterms:created xsi:type="dcterms:W3CDTF">2022-06-13T02:52:00Z</dcterms:created>
  <dcterms:modified xsi:type="dcterms:W3CDTF">2022-07-13T23:49:00Z</dcterms:modified>
</cp:coreProperties>
</file>