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32" w:rsidRDefault="00D87D3B" w:rsidP="000D3FB1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5CD3FDAC" wp14:editId="4BB78D98">
            <wp:extent cx="4326056" cy="12594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T Logo Color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450" cy="126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49E" w:rsidRPr="000D3FB1" w:rsidRDefault="00FB2B51" w:rsidP="000D3FB1">
      <w:pPr>
        <w:jc w:val="center"/>
        <w:rPr>
          <w:rFonts w:ascii="Trebuchet MS" w:hAnsi="Trebuchet MS"/>
          <w:b/>
          <w:bCs/>
          <w:sz w:val="44"/>
          <w:szCs w:val="44"/>
        </w:rPr>
      </w:pPr>
      <w:r>
        <w:rPr>
          <w:rFonts w:ascii="Trebuchet MS" w:hAnsi="Trebuchet MS"/>
          <w:b/>
          <w:bCs/>
          <w:sz w:val="44"/>
          <w:szCs w:val="44"/>
        </w:rPr>
        <w:t xml:space="preserve">Employee </w:t>
      </w:r>
      <w:r w:rsidR="00A97D8E">
        <w:rPr>
          <w:rFonts w:ascii="Trebuchet MS" w:hAnsi="Trebuchet MS"/>
          <w:b/>
          <w:bCs/>
          <w:sz w:val="44"/>
          <w:szCs w:val="44"/>
        </w:rPr>
        <w:t>Moving</w:t>
      </w:r>
      <w:r>
        <w:rPr>
          <w:rFonts w:ascii="Trebuchet MS" w:hAnsi="Trebuchet MS"/>
          <w:b/>
          <w:bCs/>
          <w:sz w:val="44"/>
          <w:szCs w:val="44"/>
        </w:rPr>
        <w:t xml:space="preserve"> </w:t>
      </w:r>
      <w:r w:rsidR="00F3489F">
        <w:rPr>
          <w:rFonts w:ascii="Trebuchet MS" w:hAnsi="Trebuchet MS"/>
          <w:b/>
          <w:bCs/>
          <w:sz w:val="44"/>
          <w:szCs w:val="44"/>
        </w:rPr>
        <w:t xml:space="preserve">and Relocation Reimbursement </w:t>
      </w:r>
      <w:r w:rsidR="000D3FB1">
        <w:rPr>
          <w:rFonts w:ascii="Trebuchet MS" w:hAnsi="Trebuchet MS"/>
          <w:b/>
          <w:bCs/>
          <w:sz w:val="44"/>
          <w:szCs w:val="44"/>
        </w:rPr>
        <w:t>Policy</w:t>
      </w:r>
    </w:p>
    <w:p w:rsidR="00D87D3B" w:rsidRDefault="00D87D3B" w:rsidP="00D87D3B">
      <w:pPr>
        <w:pStyle w:val="Heading2"/>
        <w:ind w:left="360" w:hanging="360"/>
      </w:pPr>
      <w:bookmarkStart w:id="0" w:name="_Toc10011485"/>
      <w:r>
        <w:rPr>
          <w:bCs w:val="0"/>
          <w:iCs w:val="0"/>
        </w:rPr>
        <w:t xml:space="preserve">A.  </w:t>
      </w:r>
      <w:bookmarkEnd w:id="0"/>
      <w:r>
        <w:rPr>
          <w:bCs w:val="0"/>
          <w:iCs w:val="0"/>
        </w:rPr>
        <w:t>Effective</w:t>
      </w:r>
    </w:p>
    <w:p w:rsidR="00114EE7" w:rsidRPr="00D87D3B" w:rsidRDefault="00D87D3B" w:rsidP="00D87D3B">
      <w:pPr>
        <w:autoSpaceDE w:val="0"/>
        <w:autoSpaceDN w:val="0"/>
        <w:adjustRightInd w:val="0"/>
        <w:spacing w:before="200" w:after="0" w:line="240" w:lineRule="auto"/>
        <w:jc w:val="both"/>
        <w:rPr>
          <w:rFonts w:ascii="Palatino Linotype" w:eastAsia="Times New Roman" w:hAnsi="Palatino Linotype" w:cs="LFJEOP+TimesNewRoman"/>
          <w:color w:val="000000"/>
          <w:sz w:val="20"/>
          <w:szCs w:val="20"/>
        </w:rPr>
      </w:pPr>
      <w:r w:rsidRPr="00D87D3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TBD</w:t>
      </w:r>
    </w:p>
    <w:p w:rsidR="006F449E" w:rsidRPr="008C25FC" w:rsidRDefault="00D87D3B" w:rsidP="00E917B2">
      <w:pPr>
        <w:pStyle w:val="Heading2"/>
        <w:ind w:left="360" w:hanging="360"/>
        <w:rPr>
          <w:bCs w:val="0"/>
          <w:iCs w:val="0"/>
        </w:rPr>
      </w:pPr>
      <w:r>
        <w:rPr>
          <w:bCs w:val="0"/>
          <w:iCs w:val="0"/>
        </w:rPr>
        <w:t xml:space="preserve">B. </w:t>
      </w:r>
      <w:r w:rsidR="006F449E" w:rsidRPr="008C25FC">
        <w:rPr>
          <w:bCs w:val="0"/>
          <w:iCs w:val="0"/>
        </w:rPr>
        <w:t>Applicability</w:t>
      </w:r>
      <w:bookmarkStart w:id="1" w:name="_GoBack"/>
      <w:bookmarkEnd w:id="1"/>
    </w:p>
    <w:p w:rsidR="00114EE7" w:rsidRPr="008C25FC" w:rsidRDefault="00B5090E" w:rsidP="008C25FC">
      <w:pPr>
        <w:autoSpaceDE w:val="0"/>
        <w:autoSpaceDN w:val="0"/>
        <w:adjustRightInd w:val="0"/>
        <w:spacing w:before="200" w:after="0" w:line="240" w:lineRule="auto"/>
        <w:jc w:val="both"/>
        <w:rPr>
          <w:rFonts w:ascii="Palatino Linotype" w:eastAsia="Times New Roman" w:hAnsi="Palatino Linotype" w:cs="LFJEOP+TimesNewRoman"/>
          <w:color w:val="000000"/>
          <w:sz w:val="20"/>
          <w:szCs w:val="20"/>
        </w:rPr>
      </w:pPr>
      <w:r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This policy </w:t>
      </w:r>
      <w:r w:rsidR="007B7858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shall be applicable</w:t>
      </w:r>
      <w:r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to newly hired </w:t>
      </w:r>
      <w:r w:rsidR="007C188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regular </w:t>
      </w:r>
      <w:r w:rsidR="003B69E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full-time </w:t>
      </w:r>
      <w:r w:rsidR="007B7858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staff </w:t>
      </w:r>
      <w:r w:rsidR="003B69E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and regular faculty </w:t>
      </w:r>
      <w:r w:rsidR="006213E8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positions.</w:t>
      </w:r>
      <w:r w:rsidR="0014351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This policy does not apply to temporary assignments.</w:t>
      </w:r>
    </w:p>
    <w:p w:rsidR="008A50A4" w:rsidRPr="006869A4" w:rsidRDefault="00D87D3B" w:rsidP="006869A4">
      <w:pPr>
        <w:pStyle w:val="Heading2"/>
        <w:ind w:left="360" w:hanging="360"/>
        <w:rPr>
          <w:bCs w:val="0"/>
          <w:iCs w:val="0"/>
        </w:rPr>
      </w:pPr>
      <w:r>
        <w:rPr>
          <w:bCs w:val="0"/>
          <w:iCs w:val="0"/>
        </w:rPr>
        <w:t xml:space="preserve">C. </w:t>
      </w:r>
      <w:r w:rsidR="006F449E" w:rsidRPr="008C25FC">
        <w:rPr>
          <w:bCs w:val="0"/>
          <w:iCs w:val="0"/>
        </w:rPr>
        <w:t>Policy</w:t>
      </w:r>
    </w:p>
    <w:p w:rsidR="00424E35" w:rsidRDefault="00A21B49" w:rsidP="005B0986">
      <w:pPr>
        <w:autoSpaceDE w:val="0"/>
        <w:autoSpaceDN w:val="0"/>
        <w:adjustRightInd w:val="0"/>
        <w:spacing w:before="200" w:after="0" w:line="240" w:lineRule="auto"/>
        <w:jc w:val="both"/>
        <w:rPr>
          <w:rFonts w:ascii="Palatino Linotype" w:eastAsia="Times New Roman" w:hAnsi="Palatino Linotype" w:cs="LFJEOP+TimesNewRoman"/>
          <w:color w:val="000000"/>
          <w:sz w:val="20"/>
          <w:szCs w:val="20"/>
        </w:rPr>
      </w:pPr>
      <w:r>
        <w:rPr>
          <w:rFonts w:ascii="Palatino Linotype" w:eastAsia="Times New Roman" w:hAnsi="Palatino Linotype" w:cs="LFJEOP+TimesNewRoman"/>
          <w:color w:val="000000"/>
          <w:sz w:val="20"/>
          <w:szCs w:val="20"/>
        </w:rPr>
        <w:t>When it is necessary to attract specific personnel, payment for certain costs directly related to relocation may be authorized from available and approved department funds.</w:t>
      </w:r>
    </w:p>
    <w:p w:rsidR="008729FA" w:rsidRDefault="00BF058C" w:rsidP="005B0986">
      <w:pPr>
        <w:autoSpaceDE w:val="0"/>
        <w:autoSpaceDN w:val="0"/>
        <w:adjustRightInd w:val="0"/>
        <w:spacing w:before="200" w:after="0" w:line="240" w:lineRule="auto"/>
        <w:jc w:val="both"/>
        <w:rPr>
          <w:rFonts w:ascii="Palatino Linotype" w:eastAsia="Times New Roman" w:hAnsi="Palatino Linotype" w:cs="LFJEOP+TimesNewRoman"/>
          <w:color w:val="000000"/>
          <w:sz w:val="20"/>
          <w:szCs w:val="20"/>
        </w:rPr>
      </w:pP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A new </w:t>
      </w:r>
      <w:r w:rsidR="00D3224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e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mployee is eligible for </w:t>
      </w:r>
      <w:r w:rsidR="00D3224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a 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moving and relocation allowance if the </w:t>
      </w:r>
      <w:r w:rsidR="00D3224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new e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mployee’s offer letter states </w:t>
      </w:r>
      <w:r w:rsidR="005B098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explicitly 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that a moving and relocation allowance will be paid</w:t>
      </w:r>
      <w:r w:rsidR="008729F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. </w:t>
      </w:r>
      <w:r w:rsidR="002B58BD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The move must be made in connection with the commencement of work </w:t>
      </w:r>
      <w:r w:rsidR="005B098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at </w:t>
      </w:r>
      <w:r w:rsidR="00826C4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New Mexico Tech (</w:t>
      </w:r>
      <w:r w:rsidR="005B098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NMT</w:t>
      </w:r>
      <w:r w:rsidR="00826C4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)</w:t>
      </w:r>
      <w:r w:rsidR="005B098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and the moving</w:t>
      </w:r>
      <w:r w:rsidR="00817172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and relocation</w:t>
      </w:r>
      <w:r w:rsidR="005B098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expenses must be incurred within one year of the date </w:t>
      </w:r>
      <w:r w:rsidR="008729FA" w:rsidRPr="003F6C09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the employee first reported to work at the new location</w:t>
      </w:r>
      <w:r w:rsidR="005B098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stated in t</w:t>
      </w:r>
      <w:r w:rsidR="0025590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he job description or </w:t>
      </w:r>
      <w:r w:rsidR="005B098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offer</w:t>
      </w:r>
      <w:r w:rsidR="0025590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letter</w:t>
      </w:r>
      <w:r w:rsidR="008729FA" w:rsidRPr="003F6C09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.</w:t>
      </w:r>
      <w:r w:rsidR="005B0986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</w:t>
      </w:r>
      <w:r w:rsidR="008729F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T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he offer letter</w:t>
      </w:r>
      <w:r w:rsidR="008729F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shall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contain a specified amount</w:t>
      </w:r>
      <w:r w:rsidR="00FB2B5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deemed appropriate for the move</w:t>
      </w:r>
      <w:r w:rsidR="008346D8"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. </w:t>
      </w:r>
      <w:r w:rsidR="0013523B"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The </w:t>
      </w:r>
      <w:r w:rsidR="0013523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move itself </w:t>
      </w:r>
      <w:r w:rsidR="0013523B"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is solely the responsibility of the </w:t>
      </w:r>
      <w:r w:rsidR="0013523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new </w:t>
      </w:r>
      <w:r w:rsidR="0013523B"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employee.</w:t>
      </w:r>
    </w:p>
    <w:p w:rsidR="00BF058C" w:rsidRDefault="00BF058C" w:rsidP="00114BAA">
      <w:pPr>
        <w:autoSpaceDE w:val="0"/>
        <w:autoSpaceDN w:val="0"/>
        <w:adjustRightInd w:val="0"/>
        <w:spacing w:before="200" w:after="0" w:line="240" w:lineRule="auto"/>
        <w:jc w:val="both"/>
        <w:rPr>
          <w:rFonts w:ascii="Palatino Linotype" w:eastAsia="Times New Roman" w:hAnsi="Palatino Linotype" w:cs="LFJEOP+TimesNewRoman"/>
          <w:color w:val="000000"/>
          <w:sz w:val="20"/>
          <w:szCs w:val="20"/>
        </w:rPr>
      </w:pP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If </w:t>
      </w:r>
      <w:r w:rsidR="00AF1FA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an e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mployee</w:t>
      </w:r>
      <w:r w:rsidR="004F5217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</w:t>
      </w:r>
      <w:r w:rsidR="004F5217">
        <w:rPr>
          <w:rFonts w:ascii="Palatino Linotype" w:eastAsia="Times New Roman" w:hAnsi="Palatino Linotype" w:cs="LFJEOP+TimesNewRoman"/>
          <w:sz w:val="20"/>
          <w:szCs w:val="20"/>
        </w:rPr>
        <w:t>(voluntarily or involuntarily)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terminates employment with </w:t>
      </w:r>
      <w:r w:rsidR="00E92B9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NMT</w:t>
      </w:r>
      <w:r w:rsidR="000112A8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within </w:t>
      </w:r>
      <w:r w:rsidR="00AF1FA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the first </w:t>
      </w:r>
      <w:r w:rsidR="00D00359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twelve (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12</w:t>
      </w:r>
      <w:r w:rsidR="00D00359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)</w:t>
      </w:r>
      <w:r w:rsidR="00AF1FA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month</w:t>
      </w:r>
      <w:r w:rsidR="00AF1FA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s of the employment</w:t>
      </w:r>
      <w:r w:rsidR="00EE1E3F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period</w:t>
      </w:r>
      <w:r w:rsidR="00985A8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,</w:t>
      </w:r>
      <w:r w:rsidR="00985A81"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the</w:t>
      </w:r>
      <w:r w:rsidR="00826C4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employ</w:t>
      </w:r>
      <w:r w:rsidR="00E92B9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ee must </w:t>
      </w:r>
      <w:r w:rsidR="00AF1FA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repay</w:t>
      </w:r>
      <w:r w:rsidR="00E92B9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NMT </w:t>
      </w:r>
      <w:r w:rsidR="00AF1FA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in</w:t>
      </w:r>
      <w:r w:rsidR="00E92B9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full </w:t>
      </w:r>
      <w:r w:rsidR="00570CBD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unless otherwise specified in the contract</w:t>
      </w: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.</w:t>
      </w:r>
      <w:r w:rsidR="00FA4FD5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</w:t>
      </w:r>
      <w:r w:rsidR="001567FC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The </w:t>
      </w:r>
      <w:r w:rsidR="00985A8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hiring </w:t>
      </w:r>
      <w:r w:rsidR="001567FC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department is responsible for collecting the full amount paid to the employee.</w:t>
      </w:r>
    </w:p>
    <w:p w:rsidR="00FB2B51" w:rsidRPr="00114BAA" w:rsidRDefault="00FB2B51" w:rsidP="00FB2B51">
      <w:pPr>
        <w:autoSpaceDE w:val="0"/>
        <w:autoSpaceDN w:val="0"/>
        <w:adjustRightInd w:val="0"/>
        <w:spacing w:before="200" w:after="0" w:line="240" w:lineRule="auto"/>
        <w:jc w:val="both"/>
        <w:rPr>
          <w:rFonts w:ascii="Palatino Linotype" w:eastAsia="Times New Roman" w:hAnsi="Palatino Linotype" w:cs="LFJEOP+TimesNewRoman"/>
          <w:color w:val="000000"/>
          <w:sz w:val="20"/>
          <w:szCs w:val="20"/>
        </w:rPr>
      </w:pPr>
      <w:r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This policy applies to all moves regardless of the dollar amount or source of funds. Any exception to this policy must be approved by the President.</w:t>
      </w:r>
    </w:p>
    <w:p w:rsidR="006F449E" w:rsidRPr="00114BAA" w:rsidRDefault="00D87D3B" w:rsidP="00114BAA">
      <w:pPr>
        <w:pStyle w:val="Heading2"/>
        <w:ind w:left="360" w:hanging="360"/>
        <w:rPr>
          <w:bCs w:val="0"/>
          <w:iCs w:val="0"/>
        </w:rPr>
      </w:pPr>
      <w:r>
        <w:rPr>
          <w:bCs w:val="0"/>
          <w:iCs w:val="0"/>
        </w:rPr>
        <w:t xml:space="preserve">D. </w:t>
      </w:r>
      <w:r w:rsidR="006F449E" w:rsidRPr="00114BAA">
        <w:rPr>
          <w:bCs w:val="0"/>
          <w:iCs w:val="0"/>
        </w:rPr>
        <w:t>Implementation</w:t>
      </w:r>
    </w:p>
    <w:p w:rsidR="006F449E" w:rsidRPr="00114BAA" w:rsidRDefault="00B65133" w:rsidP="000D3FB1">
      <w:pPr>
        <w:spacing w:before="120" w:after="120"/>
        <w:rPr>
          <w:rFonts w:ascii="Palatino Linotype" w:eastAsia="Times New Roman" w:hAnsi="Palatino Linotype" w:cs="LFJEOP+TimesNewRoman"/>
          <w:color w:val="000000"/>
          <w:sz w:val="20"/>
          <w:szCs w:val="20"/>
        </w:rPr>
      </w:pPr>
      <w:r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This policy shall be </w:t>
      </w:r>
      <w:r w:rsidR="00431ED0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implemented</w:t>
      </w:r>
      <w:r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</w:t>
      </w:r>
      <w:r w:rsidR="00ED013C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through procedures</w:t>
      </w:r>
      <w:r w:rsidR="004C122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related to</w:t>
      </w:r>
      <w:r w:rsidR="00817172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the</w:t>
      </w:r>
      <w:r w:rsidR="004C122B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moving</w:t>
      </w:r>
      <w:r w:rsidR="00817172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and relocation </w:t>
      </w:r>
      <w:r w:rsidR="00D62371">
        <w:rPr>
          <w:rFonts w:ascii="Palatino Linotype" w:eastAsia="Times New Roman" w:hAnsi="Palatino Linotype" w:cs="LFJEOP+TimesNewRoman"/>
          <w:color w:val="000000"/>
          <w:sz w:val="20"/>
          <w:szCs w:val="20"/>
        </w:rPr>
        <w:t>reimbursement policy</w:t>
      </w:r>
      <w:r>
        <w:rPr>
          <w:rFonts w:ascii="Palatino Linotype" w:eastAsia="Times New Roman" w:hAnsi="Palatino Linotype" w:cs="LFJEOP+TimesNewRoman"/>
          <w:color w:val="000000"/>
          <w:sz w:val="20"/>
          <w:szCs w:val="20"/>
        </w:rPr>
        <w:t>.</w:t>
      </w:r>
      <w:r w:rsidR="006F449E" w:rsidRPr="00114BAA">
        <w:rPr>
          <w:rFonts w:ascii="Palatino Linotype" w:eastAsia="Times New Roman" w:hAnsi="Palatino Linotype" w:cs="LFJEOP+TimesNewRoman"/>
          <w:color w:val="000000"/>
          <w:sz w:val="20"/>
          <w:szCs w:val="20"/>
        </w:rPr>
        <w:t xml:space="preserve"> </w:t>
      </w:r>
    </w:p>
    <w:p w:rsidR="00413F37" w:rsidRPr="006F449E" w:rsidRDefault="00413F37" w:rsidP="000D3FB1">
      <w:pPr>
        <w:spacing w:before="120" w:after="120"/>
        <w:rPr>
          <w:rFonts w:ascii="Times New Roman" w:hAnsi="Times New Roman" w:cs="Times New Roman"/>
        </w:rPr>
      </w:pPr>
    </w:p>
    <w:sectPr w:rsidR="00413F37" w:rsidRPr="006F449E" w:rsidSect="003F6C09">
      <w:head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1D9" w:rsidRDefault="000721D9" w:rsidP="003914FC">
      <w:pPr>
        <w:spacing w:after="0" w:line="240" w:lineRule="auto"/>
      </w:pPr>
      <w:r>
        <w:separator/>
      </w:r>
    </w:p>
  </w:endnote>
  <w:endnote w:type="continuationSeparator" w:id="0">
    <w:p w:rsidR="000721D9" w:rsidRDefault="000721D9" w:rsidP="0039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FJEO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1D9" w:rsidRDefault="000721D9" w:rsidP="003914FC">
      <w:pPr>
        <w:spacing w:after="0" w:line="240" w:lineRule="auto"/>
      </w:pPr>
      <w:r>
        <w:separator/>
      </w:r>
    </w:p>
  </w:footnote>
  <w:footnote w:type="continuationSeparator" w:id="0">
    <w:p w:rsidR="000721D9" w:rsidRDefault="000721D9" w:rsidP="0039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689992"/>
      <w:docPartObj>
        <w:docPartGallery w:val="Watermarks"/>
        <w:docPartUnique/>
      </w:docPartObj>
    </w:sdtPr>
    <w:sdtEndPr/>
    <w:sdtContent>
      <w:p w:rsidR="003914FC" w:rsidRDefault="000721D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7D8"/>
    <w:multiLevelType w:val="hybridMultilevel"/>
    <w:tmpl w:val="9660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D4EE3"/>
    <w:multiLevelType w:val="hybridMultilevel"/>
    <w:tmpl w:val="47F6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9E"/>
    <w:rsid w:val="000112A8"/>
    <w:rsid w:val="000721D9"/>
    <w:rsid w:val="000B7C13"/>
    <w:rsid w:val="000D3FB1"/>
    <w:rsid w:val="00114BAA"/>
    <w:rsid w:val="00114EE7"/>
    <w:rsid w:val="001313B7"/>
    <w:rsid w:val="0013523B"/>
    <w:rsid w:val="00143516"/>
    <w:rsid w:val="0015025D"/>
    <w:rsid w:val="001567FC"/>
    <w:rsid w:val="00197536"/>
    <w:rsid w:val="001A5D4D"/>
    <w:rsid w:val="002043B0"/>
    <w:rsid w:val="00224608"/>
    <w:rsid w:val="00233644"/>
    <w:rsid w:val="00255900"/>
    <w:rsid w:val="00295542"/>
    <w:rsid w:val="002B58BD"/>
    <w:rsid w:val="002C0FAB"/>
    <w:rsid w:val="003441CD"/>
    <w:rsid w:val="003914FC"/>
    <w:rsid w:val="003B69EB"/>
    <w:rsid w:val="003C2EE2"/>
    <w:rsid w:val="003C4597"/>
    <w:rsid w:val="003D1387"/>
    <w:rsid w:val="003F6C09"/>
    <w:rsid w:val="00400412"/>
    <w:rsid w:val="00413F37"/>
    <w:rsid w:val="00424E35"/>
    <w:rsid w:val="00431ED0"/>
    <w:rsid w:val="00443625"/>
    <w:rsid w:val="00457F57"/>
    <w:rsid w:val="004C122B"/>
    <w:rsid w:val="004C5D0D"/>
    <w:rsid w:val="004F5217"/>
    <w:rsid w:val="005137CC"/>
    <w:rsid w:val="005203EA"/>
    <w:rsid w:val="005313CA"/>
    <w:rsid w:val="0054533A"/>
    <w:rsid w:val="00570CBD"/>
    <w:rsid w:val="00581AD1"/>
    <w:rsid w:val="005953AD"/>
    <w:rsid w:val="005B0986"/>
    <w:rsid w:val="005B58FA"/>
    <w:rsid w:val="006044C7"/>
    <w:rsid w:val="006213E8"/>
    <w:rsid w:val="00661390"/>
    <w:rsid w:val="006869A4"/>
    <w:rsid w:val="006B37F6"/>
    <w:rsid w:val="006B4AE7"/>
    <w:rsid w:val="006F449E"/>
    <w:rsid w:val="006F5089"/>
    <w:rsid w:val="00725EAD"/>
    <w:rsid w:val="00762AFA"/>
    <w:rsid w:val="007B1693"/>
    <w:rsid w:val="007B770C"/>
    <w:rsid w:val="007B7858"/>
    <w:rsid w:val="007C188A"/>
    <w:rsid w:val="007C5657"/>
    <w:rsid w:val="007D5544"/>
    <w:rsid w:val="00817172"/>
    <w:rsid w:val="00826C41"/>
    <w:rsid w:val="008346D8"/>
    <w:rsid w:val="00841618"/>
    <w:rsid w:val="00861A23"/>
    <w:rsid w:val="00867E2B"/>
    <w:rsid w:val="008729FA"/>
    <w:rsid w:val="008759AD"/>
    <w:rsid w:val="00885E02"/>
    <w:rsid w:val="008A50A4"/>
    <w:rsid w:val="008B05C9"/>
    <w:rsid w:val="008B45BE"/>
    <w:rsid w:val="008C25FC"/>
    <w:rsid w:val="008C6A3E"/>
    <w:rsid w:val="008E27A4"/>
    <w:rsid w:val="008F15F3"/>
    <w:rsid w:val="00940C6F"/>
    <w:rsid w:val="00951095"/>
    <w:rsid w:val="009536F2"/>
    <w:rsid w:val="0097559C"/>
    <w:rsid w:val="00985A81"/>
    <w:rsid w:val="00992455"/>
    <w:rsid w:val="009A16F3"/>
    <w:rsid w:val="009E01A4"/>
    <w:rsid w:val="00A15C6F"/>
    <w:rsid w:val="00A21B49"/>
    <w:rsid w:val="00A60DA0"/>
    <w:rsid w:val="00A84E50"/>
    <w:rsid w:val="00A94125"/>
    <w:rsid w:val="00A97D8E"/>
    <w:rsid w:val="00AA5F69"/>
    <w:rsid w:val="00AC609E"/>
    <w:rsid w:val="00AF1FA0"/>
    <w:rsid w:val="00B11640"/>
    <w:rsid w:val="00B5090E"/>
    <w:rsid w:val="00B6021E"/>
    <w:rsid w:val="00B65133"/>
    <w:rsid w:val="00B66733"/>
    <w:rsid w:val="00B96137"/>
    <w:rsid w:val="00BA6632"/>
    <w:rsid w:val="00BF058C"/>
    <w:rsid w:val="00C5352A"/>
    <w:rsid w:val="00C75F52"/>
    <w:rsid w:val="00C83B9C"/>
    <w:rsid w:val="00C912D1"/>
    <w:rsid w:val="00C953DB"/>
    <w:rsid w:val="00C95CF6"/>
    <w:rsid w:val="00C96DD8"/>
    <w:rsid w:val="00CC5C07"/>
    <w:rsid w:val="00D00359"/>
    <w:rsid w:val="00D15EA5"/>
    <w:rsid w:val="00D32241"/>
    <w:rsid w:val="00D366DE"/>
    <w:rsid w:val="00D62371"/>
    <w:rsid w:val="00D87D3B"/>
    <w:rsid w:val="00DF2762"/>
    <w:rsid w:val="00E0508B"/>
    <w:rsid w:val="00E2486D"/>
    <w:rsid w:val="00E26F50"/>
    <w:rsid w:val="00E4156D"/>
    <w:rsid w:val="00E619A4"/>
    <w:rsid w:val="00E917B2"/>
    <w:rsid w:val="00E92B9B"/>
    <w:rsid w:val="00E94F5B"/>
    <w:rsid w:val="00EA5AD8"/>
    <w:rsid w:val="00EC43A8"/>
    <w:rsid w:val="00ED013C"/>
    <w:rsid w:val="00ED7DB8"/>
    <w:rsid w:val="00EE1E3F"/>
    <w:rsid w:val="00F3489F"/>
    <w:rsid w:val="00F35E6A"/>
    <w:rsid w:val="00FA4FD5"/>
    <w:rsid w:val="00FB2B51"/>
    <w:rsid w:val="00FB66E7"/>
    <w:rsid w:val="00FE09F1"/>
    <w:rsid w:val="00FE78E3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BA5DD89-2ECE-4DD4-A679-CD68A74E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C25FC"/>
    <w:pPr>
      <w:keepNext/>
      <w:keepLines/>
      <w:spacing w:before="240" w:after="60" w:line="240" w:lineRule="auto"/>
      <w:outlineLvl w:val="1"/>
    </w:pPr>
    <w:rPr>
      <w:rFonts w:ascii="Tahoma" w:eastAsia="Times New Roman" w:hAnsi="Tahoma" w:cs="Times New Roman"/>
      <w:b/>
      <w:bCs/>
      <w:iCs/>
      <w:color w:val="365F9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4FC"/>
  </w:style>
  <w:style w:type="paragraph" w:styleId="Footer">
    <w:name w:val="footer"/>
    <w:basedOn w:val="Normal"/>
    <w:link w:val="FooterChar"/>
    <w:uiPriority w:val="99"/>
    <w:unhideWhenUsed/>
    <w:rsid w:val="0039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FC"/>
  </w:style>
  <w:style w:type="paragraph" w:styleId="BalloonText">
    <w:name w:val="Balloon Text"/>
    <w:basedOn w:val="Normal"/>
    <w:link w:val="BalloonTextChar"/>
    <w:uiPriority w:val="99"/>
    <w:semiHidden/>
    <w:unhideWhenUsed/>
    <w:rsid w:val="0039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F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3914FC"/>
    <w:pPr>
      <w:keepLines/>
      <w:spacing w:before="240" w:after="60" w:line="240" w:lineRule="auto"/>
      <w:jc w:val="center"/>
    </w:pPr>
    <w:rPr>
      <w:rFonts w:ascii="Shruti" w:eastAsia="Times New Roman" w:hAnsi="Shruti" w:cs="Arial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14FC"/>
    <w:rPr>
      <w:rFonts w:ascii="Shruti" w:eastAsia="Times New Roman" w:hAnsi="Shruti" w:cs="Arial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4FC"/>
    <w:pPr>
      <w:spacing w:before="240" w:after="0" w:line="240" w:lineRule="auto"/>
      <w:jc w:val="center"/>
    </w:pPr>
    <w:rPr>
      <w:rFonts w:ascii="Trebuchet MS" w:eastAsia="Times New Roman" w:hAnsi="Trebuchet MS" w:cs="Arial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3914FC"/>
    <w:rPr>
      <w:rFonts w:ascii="Trebuchet MS" w:eastAsia="Times New Roman" w:hAnsi="Trebuchet MS" w:cs="Arial"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C75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F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366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25FC"/>
    <w:rPr>
      <w:rFonts w:ascii="Tahoma" w:eastAsia="Times New Roman" w:hAnsi="Tahoma" w:cs="Times New Roman"/>
      <w:b/>
      <w:bCs/>
      <w:iCs/>
      <w:color w:val="365F9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Tull, Melissa</dc:creator>
  <cp:lastModifiedBy>Ma, Shaojie </cp:lastModifiedBy>
  <cp:revision>69</cp:revision>
  <cp:lastPrinted>2019-06-06T21:57:00Z</cp:lastPrinted>
  <dcterms:created xsi:type="dcterms:W3CDTF">2020-02-21T17:04:00Z</dcterms:created>
  <dcterms:modified xsi:type="dcterms:W3CDTF">2022-07-13T23:38:00Z</dcterms:modified>
</cp:coreProperties>
</file>