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A2D" w:rsidRPr="001445C1" w:rsidRDefault="002D7A2D" w:rsidP="00601648">
      <w:pPr>
        <w:widowControl w:val="0"/>
        <w:pBdr>
          <w:top w:val="nil"/>
          <w:left w:val="nil"/>
          <w:bottom w:val="nil"/>
          <w:right w:val="nil"/>
          <w:between w:val="nil"/>
        </w:pBdr>
        <w:spacing w:before="240" w:after="240"/>
        <w:jc w:val="both"/>
        <w:rPr>
          <w:rFonts w:ascii="Times New Roman" w:hAnsi="Times New Roman" w:cs="Times New Roman"/>
        </w:rPr>
      </w:pPr>
      <w:bookmarkStart w:id="0" w:name="_GoBack"/>
      <w:bookmarkEnd w:id="0"/>
    </w:p>
    <w:p w:rsidR="00073A4C" w:rsidRPr="001445C1" w:rsidRDefault="00601648" w:rsidP="000E07F9">
      <w:pPr>
        <w:spacing w:before="240" w:after="240"/>
        <w:jc w:val="center"/>
        <w:rPr>
          <w:rFonts w:ascii="Times New Roman" w:eastAsia="Times New Roman" w:hAnsi="Times New Roman" w:cs="Times New Roman"/>
          <w:sz w:val="24"/>
          <w:szCs w:val="24"/>
          <w:u w:val="single"/>
        </w:rPr>
      </w:pPr>
      <w:r w:rsidRPr="001445C1">
        <w:rPr>
          <w:rFonts w:ascii="Times New Roman" w:hAnsi="Times New Roman" w:cs="Times New Roman"/>
          <w:b/>
          <w:noProof/>
          <w:sz w:val="48"/>
          <w:u w:val="single"/>
        </w:rPr>
        <w:drawing>
          <wp:inline distT="0" distB="0" distL="0" distR="0" wp14:anchorId="2D778875" wp14:editId="5DBAB224">
            <wp:extent cx="4326056" cy="1259456"/>
            <wp:effectExtent l="0" t="0" r="0" b="0"/>
            <wp:docPr id="1" name="N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T Logo Color.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44450" cy="1264811"/>
                    </a:xfrm>
                    <a:prstGeom prst="rect">
                      <a:avLst/>
                    </a:prstGeom>
                  </pic:spPr>
                </pic:pic>
              </a:graphicData>
            </a:graphic>
          </wp:inline>
        </w:drawing>
      </w:r>
    </w:p>
    <w:p w:rsidR="00601648" w:rsidRPr="001445C1" w:rsidRDefault="00073A4C" w:rsidP="00073A4C">
      <w:pPr>
        <w:spacing w:before="240" w:after="240"/>
        <w:jc w:val="center"/>
        <w:rPr>
          <w:rFonts w:ascii="Times New Roman" w:eastAsia="Times New Roman" w:hAnsi="Times New Roman" w:cs="Times New Roman"/>
          <w:sz w:val="160"/>
          <w:szCs w:val="24"/>
        </w:rPr>
      </w:pPr>
      <w:r w:rsidRPr="001445C1">
        <w:rPr>
          <w:rFonts w:ascii="Times New Roman" w:eastAsia="Times New Roman" w:hAnsi="Times New Roman" w:cs="Times New Roman"/>
          <w:sz w:val="56"/>
          <w:szCs w:val="24"/>
          <w:u w:val="single"/>
        </w:rPr>
        <w:t>Memorandum of Agreement</w:t>
      </w:r>
    </w:p>
    <w:p w:rsidR="00BA34F7" w:rsidRDefault="007415AB" w:rsidP="000E07F9">
      <w:pPr>
        <w:spacing w:before="240" w:after="240"/>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 xml:space="preserve">Between </w:t>
      </w:r>
    </w:p>
    <w:p w:rsidR="00601648" w:rsidRDefault="007415AB" w:rsidP="000E07F9">
      <w:pPr>
        <w:spacing w:before="240" w:after="240"/>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New Mexico Institute of Mining and Technology</w:t>
      </w:r>
    </w:p>
    <w:p w:rsidR="00BA34F7" w:rsidRDefault="00BA34F7" w:rsidP="000E07F9">
      <w:pPr>
        <w:spacing w:before="240" w:after="240"/>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And</w:t>
      </w:r>
    </w:p>
    <w:p w:rsidR="00BA34F7" w:rsidRPr="001445C1" w:rsidRDefault="00BA34F7" w:rsidP="000E07F9">
      <w:pPr>
        <w:spacing w:before="240" w:after="240"/>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“Provider”</w:t>
      </w:r>
    </w:p>
    <w:p w:rsidR="000E07F9" w:rsidRPr="001445C1" w:rsidRDefault="000E07F9" w:rsidP="00BA34F7">
      <w:pPr>
        <w:spacing w:before="240" w:after="240"/>
        <w:jc w:val="both"/>
        <w:rPr>
          <w:rFonts w:ascii="Times New Roman" w:eastAsia="Times New Roman" w:hAnsi="Times New Roman" w:cs="Times New Roman"/>
          <w:spacing w:val="20"/>
          <w:sz w:val="28"/>
          <w:szCs w:val="24"/>
        </w:rPr>
      </w:pPr>
      <w:r w:rsidRPr="001445C1">
        <w:rPr>
          <w:rFonts w:ascii="Times New Roman" w:hAnsi="Times New Roman" w:cs="Times New Roman"/>
          <w:color w:val="000000"/>
          <w:spacing w:val="20"/>
          <w:sz w:val="22"/>
        </w:rPr>
        <w:t xml:space="preserve">This Memorandum of Agreement (MOA) is made effective </w:t>
      </w:r>
      <w:r w:rsidR="00E5023A">
        <w:rPr>
          <w:rFonts w:ascii="Times New Roman" w:hAnsi="Times New Roman" w:cs="Times New Roman"/>
          <w:color w:val="000000"/>
          <w:spacing w:val="20"/>
          <w:sz w:val="22"/>
        </w:rPr>
        <w:t>between</w:t>
      </w:r>
      <w:r w:rsidR="007415AB">
        <w:rPr>
          <w:rFonts w:ascii="Times New Roman" w:hAnsi="Times New Roman" w:cs="Times New Roman"/>
          <w:color w:val="000000"/>
          <w:spacing w:val="20"/>
          <w:sz w:val="22"/>
        </w:rPr>
        <w:t xml:space="preserve"> New Mexico Institute of Min</w:t>
      </w:r>
      <w:r w:rsidRPr="001445C1">
        <w:rPr>
          <w:rFonts w:ascii="Times New Roman" w:hAnsi="Times New Roman" w:cs="Times New Roman"/>
          <w:color w:val="000000"/>
          <w:spacing w:val="20"/>
          <w:sz w:val="22"/>
        </w:rPr>
        <w:t>ing and Technology (</w:t>
      </w:r>
      <w:r w:rsidR="00A14972" w:rsidRPr="001445C1">
        <w:rPr>
          <w:rFonts w:ascii="Times New Roman" w:hAnsi="Times New Roman" w:cs="Times New Roman"/>
          <w:color w:val="000000"/>
          <w:spacing w:val="20"/>
          <w:sz w:val="22"/>
        </w:rPr>
        <w:t>“NM</w:t>
      </w:r>
      <w:r w:rsidR="00E5023A">
        <w:rPr>
          <w:rFonts w:ascii="Times New Roman" w:hAnsi="Times New Roman" w:cs="Times New Roman"/>
          <w:color w:val="000000"/>
          <w:spacing w:val="20"/>
          <w:sz w:val="22"/>
        </w:rPr>
        <w:t>IM</w:t>
      </w:r>
      <w:r w:rsidR="00A14972" w:rsidRPr="001445C1">
        <w:rPr>
          <w:rFonts w:ascii="Times New Roman" w:hAnsi="Times New Roman" w:cs="Times New Roman"/>
          <w:color w:val="000000"/>
          <w:spacing w:val="20"/>
          <w:sz w:val="22"/>
        </w:rPr>
        <w:t>T” or “Institution”)</w:t>
      </w:r>
      <w:r w:rsidRPr="001445C1">
        <w:rPr>
          <w:rFonts w:ascii="Times New Roman" w:hAnsi="Times New Roman" w:cs="Times New Roman"/>
          <w:color w:val="000000"/>
          <w:spacing w:val="20"/>
          <w:sz w:val="22"/>
        </w:rPr>
        <w:t xml:space="preserve"> </w:t>
      </w:r>
      <w:r w:rsidR="00E5023A">
        <w:rPr>
          <w:rFonts w:ascii="Times New Roman" w:hAnsi="Times New Roman" w:cs="Times New Roman"/>
          <w:color w:val="000000"/>
          <w:spacing w:val="20"/>
          <w:sz w:val="22"/>
        </w:rPr>
        <w:t>whose place of business is at 801 Leroy Place, Socorro, NM 87801, and between “</w:t>
      </w:r>
      <w:proofErr w:type="gramStart"/>
      <w:r w:rsidR="00E5023A">
        <w:rPr>
          <w:rFonts w:ascii="Times New Roman" w:hAnsi="Times New Roman" w:cs="Times New Roman"/>
          <w:color w:val="000000"/>
          <w:spacing w:val="20"/>
          <w:sz w:val="22"/>
        </w:rPr>
        <w:t>P</w:t>
      </w:r>
      <w:r w:rsidR="00552811" w:rsidRPr="001445C1">
        <w:rPr>
          <w:rFonts w:ascii="Times New Roman" w:hAnsi="Times New Roman" w:cs="Times New Roman"/>
          <w:color w:val="000000"/>
          <w:spacing w:val="20"/>
          <w:sz w:val="22"/>
        </w:rPr>
        <w:t>rovider</w:t>
      </w:r>
      <w:r w:rsidR="00E5023A">
        <w:rPr>
          <w:rFonts w:ascii="Times New Roman" w:hAnsi="Times New Roman" w:cs="Times New Roman"/>
          <w:color w:val="000000"/>
          <w:spacing w:val="20"/>
          <w:sz w:val="22"/>
        </w:rPr>
        <w:t>”_______________</w:t>
      </w:r>
      <w:proofErr w:type="gramEnd"/>
      <w:r w:rsidRPr="0099247F">
        <w:rPr>
          <w:rFonts w:ascii="Times New Roman" w:hAnsi="Times New Roman" w:cs="Times New Roman"/>
          <w:color w:val="FF0000"/>
          <w:spacing w:val="20"/>
          <w:sz w:val="22"/>
        </w:rPr>
        <w:t xml:space="preserve"> </w:t>
      </w:r>
      <w:r w:rsidR="00E5023A">
        <w:rPr>
          <w:rFonts w:ascii="Times New Roman" w:hAnsi="Times New Roman" w:cs="Times New Roman"/>
          <w:spacing w:val="20"/>
          <w:sz w:val="22"/>
        </w:rPr>
        <w:t>whose place of business is at_______________________</w:t>
      </w:r>
      <w:r w:rsidR="00A14972" w:rsidRPr="001445C1">
        <w:rPr>
          <w:rFonts w:ascii="Times New Roman" w:hAnsi="Times New Roman" w:cs="Times New Roman"/>
          <w:color w:val="000000"/>
          <w:spacing w:val="20"/>
          <w:sz w:val="22"/>
        </w:rPr>
        <w:t>.</w:t>
      </w:r>
    </w:p>
    <w:p w:rsidR="00B717DB" w:rsidRPr="001445C1" w:rsidRDefault="00B717DB" w:rsidP="00BA34F7">
      <w:pPr>
        <w:pStyle w:val="Heading1"/>
        <w:jc w:val="both"/>
        <w:rPr>
          <w:rFonts w:ascii="Times New Roman" w:hAnsi="Times New Roman" w:cs="Times New Roman"/>
        </w:rPr>
      </w:pPr>
      <w:bookmarkStart w:id="1" w:name="_Toc113431273"/>
      <w:r w:rsidRPr="001445C1">
        <w:rPr>
          <w:rFonts w:ascii="Times New Roman" w:hAnsi="Times New Roman" w:cs="Times New Roman"/>
        </w:rPr>
        <w:t>CONFIDENTIAL INFORMATION</w:t>
      </w:r>
      <w:bookmarkEnd w:id="1"/>
    </w:p>
    <w:p w:rsidR="00B717DB" w:rsidRPr="001445C1" w:rsidRDefault="00A14972" w:rsidP="00BA34F7">
      <w:pPr>
        <w:pStyle w:val="NormalWeb"/>
        <w:spacing w:before="240" w:beforeAutospacing="0" w:after="240" w:afterAutospacing="0"/>
        <w:jc w:val="both"/>
        <w:textAlignment w:val="baseline"/>
        <w:rPr>
          <w:b/>
          <w:bCs/>
          <w:color w:val="000000"/>
          <w:spacing w:val="20"/>
          <w:sz w:val="22"/>
          <w:szCs w:val="22"/>
        </w:rPr>
      </w:pPr>
      <w:r w:rsidRPr="001445C1">
        <w:rPr>
          <w:color w:val="000000"/>
          <w:spacing w:val="20"/>
          <w:sz w:val="22"/>
          <w:szCs w:val="22"/>
        </w:rPr>
        <w:t>Provider</w:t>
      </w:r>
      <w:r w:rsidR="00B717DB" w:rsidRPr="001445C1">
        <w:rPr>
          <w:color w:val="000000"/>
          <w:spacing w:val="20"/>
          <w:sz w:val="22"/>
          <w:szCs w:val="22"/>
        </w:rPr>
        <w:t xml:space="preserve"> including its </w:t>
      </w:r>
      <w:r w:rsidR="000D5644" w:rsidRPr="001445C1">
        <w:rPr>
          <w:color w:val="000000"/>
          <w:spacing w:val="20"/>
          <w:sz w:val="22"/>
          <w:szCs w:val="22"/>
        </w:rPr>
        <w:t>employees</w:t>
      </w:r>
      <w:r w:rsidR="00B717DB" w:rsidRPr="001445C1">
        <w:rPr>
          <w:color w:val="000000"/>
          <w:spacing w:val="20"/>
          <w:sz w:val="22"/>
          <w:szCs w:val="22"/>
        </w:rPr>
        <w:t xml:space="preserve"> and subcontractors, to this contract may have or gain access to confidential data or information owned or maintained by the other </w:t>
      </w:r>
      <w:r w:rsidR="000D5644" w:rsidRPr="001445C1">
        <w:rPr>
          <w:color w:val="000000"/>
          <w:spacing w:val="20"/>
          <w:sz w:val="22"/>
          <w:szCs w:val="22"/>
        </w:rPr>
        <w:t>Provider</w:t>
      </w:r>
      <w:r w:rsidR="00B717DB" w:rsidRPr="001445C1">
        <w:rPr>
          <w:color w:val="000000"/>
          <w:spacing w:val="20"/>
          <w:sz w:val="22"/>
          <w:szCs w:val="22"/>
        </w:rPr>
        <w:t xml:space="preserve"> in the course of carrying out its responsibilities under this contract.  </w:t>
      </w:r>
      <w:r w:rsidR="00E5023A">
        <w:rPr>
          <w:color w:val="000000"/>
          <w:spacing w:val="20"/>
          <w:sz w:val="22"/>
          <w:szCs w:val="22"/>
        </w:rPr>
        <w:t>Provider</w:t>
      </w:r>
      <w:r w:rsidR="00B717DB" w:rsidRPr="001445C1">
        <w:rPr>
          <w:color w:val="000000"/>
          <w:spacing w:val="20"/>
          <w:sz w:val="22"/>
          <w:szCs w:val="22"/>
        </w:rPr>
        <w:t xml:space="preserve"> shall presume all information received from the State or to which it gains access pursuant to this contract is confidential.  </w:t>
      </w:r>
      <w:r w:rsidR="00E5023A">
        <w:rPr>
          <w:color w:val="000000"/>
          <w:spacing w:val="20"/>
          <w:sz w:val="22"/>
          <w:szCs w:val="22"/>
        </w:rPr>
        <w:t>Provider</w:t>
      </w:r>
      <w:r w:rsidR="00B717DB" w:rsidRPr="001445C1">
        <w:rPr>
          <w:color w:val="000000"/>
          <w:spacing w:val="20"/>
          <w:sz w:val="22"/>
          <w:szCs w:val="22"/>
        </w:rPr>
        <w:t xml:space="preserve"> information, unless clearly marked as confidential and exempt from disclosure under the </w:t>
      </w:r>
      <w:r w:rsidR="00B82D38">
        <w:rPr>
          <w:color w:val="000000"/>
          <w:spacing w:val="20"/>
          <w:sz w:val="22"/>
          <w:szCs w:val="22"/>
        </w:rPr>
        <w:t>Inspection of Public Records Act, NMSA 14-2</w:t>
      </w:r>
      <w:r w:rsidR="00B717DB" w:rsidRPr="001445C1">
        <w:rPr>
          <w:color w:val="000000"/>
          <w:spacing w:val="20"/>
          <w:sz w:val="22"/>
          <w:szCs w:val="22"/>
        </w:rPr>
        <w:t xml:space="preserve">, </w:t>
      </w:r>
      <w:proofErr w:type="gramStart"/>
      <w:r w:rsidR="00B717DB" w:rsidRPr="001445C1">
        <w:rPr>
          <w:color w:val="000000"/>
          <w:spacing w:val="20"/>
          <w:sz w:val="22"/>
          <w:szCs w:val="22"/>
        </w:rPr>
        <w:t>shall be considered</w:t>
      </w:r>
      <w:proofErr w:type="gramEnd"/>
      <w:r w:rsidR="00B717DB" w:rsidRPr="001445C1">
        <w:rPr>
          <w:color w:val="000000"/>
          <w:spacing w:val="20"/>
          <w:sz w:val="22"/>
          <w:szCs w:val="22"/>
        </w:rPr>
        <w:t xml:space="preserve"> public.  No confidential data collected, maintained, or used in the course of performance of the contract shall be disseminated except as authorized by law and with the written consent of the disclosing </w:t>
      </w:r>
      <w:r w:rsidR="000D5644" w:rsidRPr="001445C1">
        <w:rPr>
          <w:color w:val="000000"/>
          <w:spacing w:val="20"/>
          <w:sz w:val="22"/>
          <w:szCs w:val="22"/>
        </w:rPr>
        <w:t>Provider</w:t>
      </w:r>
      <w:r w:rsidR="00B717DB" w:rsidRPr="001445C1">
        <w:rPr>
          <w:color w:val="000000"/>
          <w:spacing w:val="20"/>
          <w:sz w:val="22"/>
          <w:szCs w:val="22"/>
        </w:rPr>
        <w:t xml:space="preserve">, either during the period of the contract or thereafter.  The receiving </w:t>
      </w:r>
      <w:r w:rsidR="000D5644" w:rsidRPr="001445C1">
        <w:rPr>
          <w:color w:val="000000"/>
          <w:spacing w:val="20"/>
          <w:sz w:val="22"/>
          <w:szCs w:val="22"/>
        </w:rPr>
        <w:t>Provider</w:t>
      </w:r>
      <w:r w:rsidR="00B717DB" w:rsidRPr="001445C1">
        <w:rPr>
          <w:color w:val="000000"/>
          <w:spacing w:val="20"/>
          <w:sz w:val="22"/>
          <w:szCs w:val="22"/>
        </w:rPr>
        <w:t xml:space="preserve"> must return </w:t>
      </w:r>
      <w:proofErr w:type="gramStart"/>
      <w:r w:rsidR="00B717DB" w:rsidRPr="001445C1">
        <w:rPr>
          <w:color w:val="000000"/>
          <w:spacing w:val="20"/>
          <w:sz w:val="22"/>
          <w:szCs w:val="22"/>
        </w:rPr>
        <w:t>any and all</w:t>
      </w:r>
      <w:proofErr w:type="gramEnd"/>
      <w:r w:rsidR="00B717DB" w:rsidRPr="001445C1">
        <w:rPr>
          <w:color w:val="000000"/>
          <w:spacing w:val="20"/>
          <w:sz w:val="22"/>
          <w:szCs w:val="22"/>
        </w:rPr>
        <w:t xml:space="preserve"> data collected, maintained, created or used in the course of the performance of the contract, in whatever form it is maintained, promptly at the end of the contract, or earlier at the request of the disclosing </w:t>
      </w:r>
      <w:r w:rsidR="000D5644" w:rsidRPr="001445C1">
        <w:rPr>
          <w:color w:val="000000"/>
          <w:spacing w:val="20"/>
          <w:sz w:val="22"/>
          <w:szCs w:val="22"/>
        </w:rPr>
        <w:t>Provider</w:t>
      </w:r>
      <w:r w:rsidR="00B717DB" w:rsidRPr="001445C1">
        <w:rPr>
          <w:color w:val="000000"/>
          <w:spacing w:val="20"/>
          <w:sz w:val="22"/>
          <w:szCs w:val="22"/>
        </w:rPr>
        <w:t xml:space="preserve">, or notify the disclosing </w:t>
      </w:r>
      <w:r w:rsidR="000D5644" w:rsidRPr="001445C1">
        <w:rPr>
          <w:color w:val="000000"/>
          <w:spacing w:val="20"/>
          <w:sz w:val="22"/>
          <w:szCs w:val="22"/>
        </w:rPr>
        <w:t>Provider</w:t>
      </w:r>
      <w:r w:rsidR="00B717DB" w:rsidRPr="001445C1">
        <w:rPr>
          <w:color w:val="000000"/>
          <w:spacing w:val="20"/>
          <w:sz w:val="22"/>
          <w:szCs w:val="22"/>
        </w:rPr>
        <w:t xml:space="preserve"> in writing of its destruction.  </w:t>
      </w:r>
      <w:proofErr w:type="gramStart"/>
      <w:r w:rsidR="00B717DB" w:rsidRPr="001445C1">
        <w:rPr>
          <w:color w:val="000000"/>
          <w:spacing w:val="20"/>
          <w:sz w:val="22"/>
          <w:szCs w:val="22"/>
        </w:rPr>
        <w:t>The foregoing obligations shall not apply to confidential data or inform</w:t>
      </w:r>
      <w:r w:rsidR="000D5644" w:rsidRPr="001445C1">
        <w:rPr>
          <w:color w:val="000000"/>
          <w:spacing w:val="20"/>
          <w:sz w:val="22"/>
          <w:szCs w:val="22"/>
        </w:rPr>
        <w:t>ation lawfully in the receiving party’s</w:t>
      </w:r>
      <w:r w:rsidR="00B717DB" w:rsidRPr="001445C1">
        <w:rPr>
          <w:color w:val="000000"/>
          <w:spacing w:val="20"/>
          <w:sz w:val="22"/>
          <w:szCs w:val="22"/>
        </w:rPr>
        <w:t xml:space="preserve"> possession prior to its acquisition from the disclosing </w:t>
      </w:r>
      <w:r w:rsidR="000D5644" w:rsidRPr="001445C1">
        <w:rPr>
          <w:color w:val="000000"/>
          <w:spacing w:val="20"/>
          <w:sz w:val="22"/>
          <w:szCs w:val="22"/>
        </w:rPr>
        <w:t>party</w:t>
      </w:r>
      <w:r w:rsidR="00B717DB" w:rsidRPr="001445C1">
        <w:rPr>
          <w:color w:val="000000"/>
          <w:spacing w:val="20"/>
          <w:sz w:val="22"/>
          <w:szCs w:val="22"/>
        </w:rPr>
        <w:t xml:space="preserve">; received in good faith from a third </w:t>
      </w:r>
      <w:r w:rsidR="000D5644" w:rsidRPr="001445C1">
        <w:rPr>
          <w:color w:val="000000"/>
          <w:spacing w:val="20"/>
          <w:sz w:val="22"/>
          <w:szCs w:val="22"/>
        </w:rPr>
        <w:t>Provider</w:t>
      </w:r>
      <w:r w:rsidR="00B717DB" w:rsidRPr="001445C1">
        <w:rPr>
          <w:color w:val="000000"/>
          <w:spacing w:val="20"/>
          <w:sz w:val="22"/>
          <w:szCs w:val="22"/>
        </w:rPr>
        <w:t xml:space="preserve"> not subject to any confidentiality obligation to the disclosing </w:t>
      </w:r>
      <w:r w:rsidR="000D5644" w:rsidRPr="001445C1">
        <w:rPr>
          <w:color w:val="000000"/>
          <w:spacing w:val="20"/>
          <w:sz w:val="22"/>
          <w:szCs w:val="22"/>
        </w:rPr>
        <w:t>Provider</w:t>
      </w:r>
      <w:r w:rsidR="00B717DB" w:rsidRPr="001445C1">
        <w:rPr>
          <w:color w:val="000000"/>
          <w:spacing w:val="20"/>
          <w:sz w:val="22"/>
          <w:szCs w:val="22"/>
        </w:rPr>
        <w:t xml:space="preserve">; now is or later becomes publicly known through no breach of confidentiality obligation by the receiving </w:t>
      </w:r>
      <w:r w:rsidR="000D5644" w:rsidRPr="001445C1">
        <w:rPr>
          <w:color w:val="000000"/>
          <w:spacing w:val="20"/>
          <w:sz w:val="22"/>
          <w:szCs w:val="22"/>
        </w:rPr>
        <w:t>Provider</w:t>
      </w:r>
      <w:r w:rsidR="00B717DB" w:rsidRPr="001445C1">
        <w:rPr>
          <w:color w:val="000000"/>
          <w:spacing w:val="20"/>
          <w:sz w:val="22"/>
          <w:szCs w:val="22"/>
        </w:rPr>
        <w:t xml:space="preserve">; or is </w:t>
      </w:r>
      <w:r w:rsidR="00B717DB" w:rsidRPr="001445C1">
        <w:rPr>
          <w:color w:val="000000"/>
          <w:spacing w:val="20"/>
          <w:sz w:val="22"/>
          <w:szCs w:val="22"/>
        </w:rPr>
        <w:lastRenderedPageBreak/>
        <w:t xml:space="preserve">independently developed by the receiving </w:t>
      </w:r>
      <w:r w:rsidR="000D5644" w:rsidRPr="001445C1">
        <w:rPr>
          <w:color w:val="000000"/>
          <w:spacing w:val="20"/>
          <w:sz w:val="22"/>
          <w:szCs w:val="22"/>
        </w:rPr>
        <w:t>party</w:t>
      </w:r>
      <w:r w:rsidR="00B717DB" w:rsidRPr="001445C1">
        <w:rPr>
          <w:color w:val="000000"/>
          <w:spacing w:val="20"/>
          <w:sz w:val="22"/>
          <w:szCs w:val="22"/>
        </w:rPr>
        <w:t xml:space="preserve"> without the use or benefit of the disclosing </w:t>
      </w:r>
      <w:r w:rsidR="000D5644" w:rsidRPr="001445C1">
        <w:rPr>
          <w:color w:val="000000"/>
          <w:spacing w:val="20"/>
          <w:sz w:val="22"/>
          <w:szCs w:val="22"/>
        </w:rPr>
        <w:t>Institution’s</w:t>
      </w:r>
      <w:r w:rsidR="00B717DB" w:rsidRPr="001445C1">
        <w:rPr>
          <w:color w:val="000000"/>
          <w:spacing w:val="20"/>
          <w:sz w:val="22"/>
          <w:szCs w:val="22"/>
        </w:rPr>
        <w:t xml:space="preserve"> confidential information.</w:t>
      </w:r>
      <w:proofErr w:type="gramEnd"/>
    </w:p>
    <w:p w:rsidR="00B717DB" w:rsidRPr="001445C1" w:rsidRDefault="00B717DB" w:rsidP="00BA34F7">
      <w:pPr>
        <w:pStyle w:val="Heading1"/>
        <w:jc w:val="both"/>
        <w:rPr>
          <w:rFonts w:ascii="Times New Roman" w:hAnsi="Times New Roman" w:cs="Times New Roman"/>
        </w:rPr>
      </w:pPr>
      <w:bookmarkStart w:id="2" w:name="_Toc113431274"/>
      <w:r w:rsidRPr="001445C1">
        <w:rPr>
          <w:rFonts w:ascii="Times New Roman" w:hAnsi="Times New Roman" w:cs="Times New Roman"/>
        </w:rPr>
        <w:t>NO WAIVER OF RIGHTS</w:t>
      </w:r>
      <w:bookmarkEnd w:id="2"/>
    </w:p>
    <w:p w:rsidR="00B717DB" w:rsidRPr="001445C1" w:rsidRDefault="00B717DB" w:rsidP="00BA34F7">
      <w:pPr>
        <w:spacing w:before="240" w:after="240"/>
        <w:jc w:val="both"/>
        <w:rPr>
          <w:rFonts w:ascii="Times New Roman" w:hAnsi="Times New Roman" w:cs="Times New Roman"/>
          <w:color w:val="000000"/>
          <w:spacing w:val="20"/>
          <w:sz w:val="22"/>
          <w:szCs w:val="22"/>
        </w:rPr>
      </w:pPr>
      <w:r w:rsidRPr="001445C1">
        <w:rPr>
          <w:rFonts w:ascii="Times New Roman" w:hAnsi="Times New Roman" w:cs="Times New Roman"/>
          <w:color w:val="000000"/>
          <w:spacing w:val="20"/>
          <w:sz w:val="22"/>
          <w:szCs w:val="22"/>
        </w:rPr>
        <w:t xml:space="preserve">Except as specifically waived in writing, failure by </w:t>
      </w:r>
      <w:r w:rsidR="00BF233D">
        <w:rPr>
          <w:rFonts w:ascii="Times New Roman" w:hAnsi="Times New Roman" w:cs="Times New Roman"/>
          <w:color w:val="000000"/>
          <w:spacing w:val="20"/>
          <w:sz w:val="22"/>
          <w:szCs w:val="22"/>
        </w:rPr>
        <w:t>either party</w:t>
      </w:r>
      <w:r w:rsidRPr="001445C1">
        <w:rPr>
          <w:rFonts w:ascii="Times New Roman" w:hAnsi="Times New Roman" w:cs="Times New Roman"/>
          <w:color w:val="000000"/>
          <w:spacing w:val="20"/>
          <w:sz w:val="22"/>
          <w:szCs w:val="22"/>
        </w:rPr>
        <w:t xml:space="preserve"> to exercise or enforce a right does not waive that </w:t>
      </w:r>
      <w:r w:rsidR="00BF233D">
        <w:rPr>
          <w:rFonts w:ascii="Times New Roman" w:hAnsi="Times New Roman" w:cs="Times New Roman"/>
          <w:color w:val="000000"/>
          <w:spacing w:val="20"/>
          <w:sz w:val="22"/>
          <w:szCs w:val="22"/>
        </w:rPr>
        <w:t>party’s</w:t>
      </w:r>
      <w:r w:rsidR="00BF233D" w:rsidRPr="001445C1">
        <w:rPr>
          <w:rFonts w:ascii="Times New Roman" w:hAnsi="Times New Roman" w:cs="Times New Roman"/>
          <w:color w:val="000000"/>
          <w:spacing w:val="20"/>
          <w:sz w:val="22"/>
          <w:szCs w:val="22"/>
        </w:rPr>
        <w:t xml:space="preserve"> </w:t>
      </w:r>
      <w:r w:rsidRPr="001445C1">
        <w:rPr>
          <w:rFonts w:ascii="Times New Roman" w:hAnsi="Times New Roman" w:cs="Times New Roman"/>
          <w:color w:val="000000"/>
          <w:spacing w:val="20"/>
          <w:sz w:val="22"/>
          <w:szCs w:val="22"/>
        </w:rPr>
        <w:t>right to exercise or enforce that or other rights in the future.</w:t>
      </w:r>
    </w:p>
    <w:p w:rsidR="00B717DB" w:rsidRPr="001445C1" w:rsidRDefault="00B717DB" w:rsidP="00BA34F7">
      <w:pPr>
        <w:pStyle w:val="Heading1"/>
        <w:jc w:val="both"/>
        <w:rPr>
          <w:rFonts w:ascii="Times New Roman" w:hAnsi="Times New Roman" w:cs="Times New Roman"/>
        </w:rPr>
      </w:pPr>
      <w:bookmarkStart w:id="3" w:name="_Toc113431275"/>
      <w:r w:rsidRPr="001445C1">
        <w:rPr>
          <w:rFonts w:ascii="Times New Roman" w:hAnsi="Times New Roman" w:cs="Times New Roman"/>
        </w:rPr>
        <w:t>AUDIT/RETENTION OF RECORDS</w:t>
      </w:r>
      <w:bookmarkEnd w:id="3"/>
    </w:p>
    <w:p w:rsidR="00B717DB" w:rsidRPr="001445C1" w:rsidRDefault="00A14972" w:rsidP="00BA34F7">
      <w:pPr>
        <w:spacing w:before="240" w:after="240"/>
        <w:jc w:val="both"/>
        <w:rPr>
          <w:rFonts w:ascii="Times New Roman" w:hAnsi="Times New Roman" w:cs="Times New Roman"/>
          <w:spacing w:val="20"/>
          <w:sz w:val="22"/>
          <w:szCs w:val="22"/>
        </w:rPr>
      </w:pPr>
      <w:r w:rsidRPr="001445C1">
        <w:rPr>
          <w:rFonts w:ascii="Times New Roman" w:hAnsi="Times New Roman" w:cs="Times New Roman"/>
          <w:color w:val="000000"/>
          <w:spacing w:val="20"/>
          <w:sz w:val="22"/>
          <w:szCs w:val="22"/>
        </w:rPr>
        <w:t>Provider</w:t>
      </w:r>
      <w:r w:rsidR="00B717DB" w:rsidRPr="001445C1">
        <w:rPr>
          <w:rFonts w:ascii="Times New Roman" w:hAnsi="Times New Roman" w:cs="Times New Roman"/>
          <w:color w:val="000000"/>
          <w:spacing w:val="20"/>
          <w:sz w:val="22"/>
          <w:szCs w:val="22"/>
        </w:rPr>
        <w:t xml:space="preserve"> and its subcontractors shall maintain books and records relating to the performance of the contract or subcontract and necessary to support amounts charged to the State pursuant the contract or subcontract.  </w:t>
      </w:r>
      <w:proofErr w:type="gramStart"/>
      <w:r w:rsidR="00B717DB" w:rsidRPr="001445C1">
        <w:rPr>
          <w:rFonts w:ascii="Times New Roman" w:hAnsi="Times New Roman" w:cs="Times New Roman"/>
          <w:color w:val="000000"/>
          <w:spacing w:val="20"/>
          <w:sz w:val="22"/>
          <w:szCs w:val="22"/>
        </w:rPr>
        <w:t xml:space="preserve">Books and records, including information stored in databases or other computer systems, shall be maintained by the </w:t>
      </w:r>
      <w:r w:rsidR="00E5023A">
        <w:rPr>
          <w:rFonts w:ascii="Times New Roman" w:hAnsi="Times New Roman" w:cs="Times New Roman"/>
          <w:color w:val="000000"/>
          <w:spacing w:val="20"/>
          <w:sz w:val="22"/>
          <w:szCs w:val="22"/>
        </w:rPr>
        <w:t>Provider</w:t>
      </w:r>
      <w:r w:rsidR="00B717DB" w:rsidRPr="001445C1">
        <w:rPr>
          <w:rFonts w:ascii="Times New Roman" w:hAnsi="Times New Roman" w:cs="Times New Roman"/>
          <w:color w:val="000000"/>
          <w:spacing w:val="20"/>
          <w:sz w:val="22"/>
          <w:szCs w:val="22"/>
        </w:rPr>
        <w:t xml:space="preserve"> for a period of three (3) years from the later of the date of final payment under the contract or completion of the contract, and by the subcontractor for a period of three (3) years from the later of final payment under the term or completion of the subcontract. </w:t>
      </w:r>
      <w:proofErr w:type="gramEnd"/>
      <w:r w:rsidR="00B717DB" w:rsidRPr="001445C1">
        <w:rPr>
          <w:rFonts w:ascii="Times New Roman" w:hAnsi="Times New Roman" w:cs="Times New Roman"/>
          <w:color w:val="000000"/>
          <w:spacing w:val="20"/>
          <w:sz w:val="22"/>
          <w:szCs w:val="22"/>
        </w:rPr>
        <w:t xml:space="preserve"> If Federal funds </w:t>
      </w:r>
      <w:proofErr w:type="gramStart"/>
      <w:r w:rsidR="00B717DB" w:rsidRPr="001445C1">
        <w:rPr>
          <w:rFonts w:ascii="Times New Roman" w:hAnsi="Times New Roman" w:cs="Times New Roman"/>
          <w:color w:val="000000"/>
          <w:spacing w:val="20"/>
          <w:sz w:val="22"/>
          <w:szCs w:val="22"/>
        </w:rPr>
        <w:t>are</w:t>
      </w:r>
      <w:r w:rsidR="00E5023A">
        <w:rPr>
          <w:rFonts w:ascii="Times New Roman" w:hAnsi="Times New Roman" w:cs="Times New Roman"/>
          <w:color w:val="000000"/>
          <w:spacing w:val="20"/>
          <w:sz w:val="22"/>
          <w:szCs w:val="22"/>
        </w:rPr>
        <w:t xml:space="preserve"> </w:t>
      </w:r>
      <w:r w:rsidR="00B717DB" w:rsidRPr="001445C1">
        <w:rPr>
          <w:rFonts w:ascii="Times New Roman" w:hAnsi="Times New Roman" w:cs="Times New Roman"/>
          <w:color w:val="000000"/>
          <w:spacing w:val="20"/>
          <w:sz w:val="22"/>
          <w:szCs w:val="22"/>
        </w:rPr>
        <w:t>used</w:t>
      </w:r>
      <w:proofErr w:type="gramEnd"/>
      <w:r w:rsidR="00B717DB" w:rsidRPr="001445C1">
        <w:rPr>
          <w:rFonts w:ascii="Times New Roman" w:hAnsi="Times New Roman" w:cs="Times New Roman"/>
          <w:color w:val="000000"/>
          <w:spacing w:val="20"/>
          <w:sz w:val="22"/>
          <w:szCs w:val="22"/>
        </w:rPr>
        <w:t xml:space="preserve"> to pay contract costs, the </w:t>
      </w:r>
      <w:r w:rsidR="00E5023A">
        <w:rPr>
          <w:rFonts w:ascii="Times New Roman" w:hAnsi="Times New Roman" w:cs="Times New Roman"/>
          <w:color w:val="000000"/>
          <w:spacing w:val="20"/>
          <w:sz w:val="22"/>
          <w:szCs w:val="22"/>
        </w:rPr>
        <w:t>Provider</w:t>
      </w:r>
      <w:r w:rsidR="00B717DB" w:rsidRPr="001445C1">
        <w:rPr>
          <w:rFonts w:ascii="Times New Roman" w:hAnsi="Times New Roman" w:cs="Times New Roman"/>
          <w:color w:val="000000"/>
          <w:spacing w:val="20"/>
          <w:sz w:val="22"/>
          <w:szCs w:val="22"/>
        </w:rPr>
        <w:t xml:space="preserve"> and its subcontractors must retain their respective records for five (5) years.  Books and records </w:t>
      </w:r>
      <w:proofErr w:type="gramStart"/>
      <w:r w:rsidR="00B717DB" w:rsidRPr="001445C1">
        <w:rPr>
          <w:rFonts w:ascii="Times New Roman" w:hAnsi="Times New Roman" w:cs="Times New Roman"/>
          <w:color w:val="000000"/>
          <w:spacing w:val="20"/>
          <w:sz w:val="22"/>
          <w:szCs w:val="22"/>
        </w:rPr>
        <w:t>required to be maintained</w:t>
      </w:r>
      <w:proofErr w:type="gramEnd"/>
      <w:r w:rsidR="00B717DB" w:rsidRPr="001445C1">
        <w:rPr>
          <w:rFonts w:ascii="Times New Roman" w:hAnsi="Times New Roman" w:cs="Times New Roman"/>
          <w:color w:val="000000"/>
          <w:spacing w:val="20"/>
          <w:sz w:val="22"/>
          <w:szCs w:val="22"/>
        </w:rPr>
        <w:t xml:space="preserve"> under this section shall be available for review or audit by representatives of:  the procuring Agency, the Auditor General, the Executive Inspector General, the Chief Procurement Officer, </w:t>
      </w:r>
      <w:r w:rsidR="00BE72A4" w:rsidRPr="001445C1">
        <w:rPr>
          <w:rFonts w:ascii="Times New Roman" w:hAnsi="Times New Roman" w:cs="Times New Roman"/>
          <w:color w:val="000000"/>
          <w:spacing w:val="20"/>
          <w:sz w:val="22"/>
          <w:szCs w:val="22"/>
        </w:rPr>
        <w:t>State of New Mexico</w:t>
      </w:r>
      <w:r w:rsidR="00B717DB" w:rsidRPr="001445C1">
        <w:rPr>
          <w:rFonts w:ascii="Times New Roman" w:hAnsi="Times New Roman" w:cs="Times New Roman"/>
          <w:color w:val="000000"/>
          <w:spacing w:val="20"/>
          <w:sz w:val="22"/>
          <w:szCs w:val="22"/>
        </w:rPr>
        <w:t xml:space="preserve"> internal auditors or other governmental entities with monitoring authority, upon reasonable notice and during normal business hours.  </w:t>
      </w:r>
      <w:r w:rsidR="00E5023A">
        <w:rPr>
          <w:rFonts w:ascii="Times New Roman" w:hAnsi="Times New Roman" w:cs="Times New Roman"/>
          <w:color w:val="000000"/>
          <w:spacing w:val="20"/>
          <w:sz w:val="22"/>
          <w:szCs w:val="22"/>
        </w:rPr>
        <w:t>Provider</w:t>
      </w:r>
      <w:r w:rsidR="00B717DB" w:rsidRPr="001445C1">
        <w:rPr>
          <w:rFonts w:ascii="Times New Roman" w:hAnsi="Times New Roman" w:cs="Times New Roman"/>
          <w:color w:val="000000"/>
          <w:spacing w:val="20"/>
          <w:sz w:val="22"/>
          <w:szCs w:val="22"/>
        </w:rPr>
        <w:t xml:space="preserve">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w:t>
      </w:r>
      <w:r w:rsidR="00E5023A">
        <w:rPr>
          <w:rFonts w:ascii="Times New Roman" w:hAnsi="Times New Roman" w:cs="Times New Roman"/>
          <w:color w:val="000000"/>
          <w:spacing w:val="20"/>
          <w:sz w:val="22"/>
          <w:szCs w:val="22"/>
        </w:rPr>
        <w:t>Provider</w:t>
      </w:r>
      <w:r w:rsidR="00B717DB" w:rsidRPr="001445C1">
        <w:rPr>
          <w:rFonts w:ascii="Times New Roman" w:hAnsi="Times New Roman" w:cs="Times New Roman"/>
          <w:color w:val="000000"/>
          <w:spacing w:val="20"/>
          <w:sz w:val="22"/>
          <w:szCs w:val="22"/>
        </w:rPr>
        <w:t xml:space="preserve"> or subcontractors shall not impose a charge for audit or examination of the </w:t>
      </w:r>
      <w:r w:rsidR="00E5023A">
        <w:rPr>
          <w:rFonts w:ascii="Times New Roman" w:hAnsi="Times New Roman" w:cs="Times New Roman"/>
          <w:color w:val="000000"/>
          <w:spacing w:val="20"/>
          <w:sz w:val="22"/>
          <w:szCs w:val="22"/>
        </w:rPr>
        <w:t>Provider</w:t>
      </w:r>
      <w:r w:rsidR="00B717DB" w:rsidRPr="001445C1">
        <w:rPr>
          <w:rFonts w:ascii="Times New Roman" w:hAnsi="Times New Roman" w:cs="Times New Roman"/>
          <w:color w:val="000000"/>
          <w:spacing w:val="20"/>
          <w:sz w:val="22"/>
          <w:szCs w:val="22"/>
        </w:rPr>
        <w:t xml:space="preserve">’s or subcontractor’s books and records. </w:t>
      </w:r>
    </w:p>
    <w:p w:rsidR="00B717DB" w:rsidRPr="001445C1" w:rsidRDefault="0097057C" w:rsidP="00BA34F7">
      <w:pPr>
        <w:pStyle w:val="Heading1"/>
        <w:jc w:val="both"/>
        <w:rPr>
          <w:rFonts w:ascii="Times New Roman" w:hAnsi="Times New Roman" w:cs="Times New Roman"/>
        </w:rPr>
      </w:pPr>
      <w:r w:rsidRPr="001445C1">
        <w:rPr>
          <w:rFonts w:ascii="Times New Roman" w:hAnsi="Times New Roman" w:cs="Times New Roman"/>
        </w:rPr>
        <w:t xml:space="preserve">     </w:t>
      </w:r>
      <w:bookmarkStart w:id="4" w:name="_Toc113431276"/>
      <w:r w:rsidR="00B717DB" w:rsidRPr="001445C1">
        <w:rPr>
          <w:rFonts w:ascii="Times New Roman" w:hAnsi="Times New Roman" w:cs="Times New Roman"/>
        </w:rPr>
        <w:t>INDEMNIFICATION AND LIABILITY</w:t>
      </w:r>
      <w:bookmarkEnd w:id="4"/>
    </w:p>
    <w:p w:rsidR="00B717DB" w:rsidRPr="001445C1" w:rsidRDefault="00A14972" w:rsidP="00BA34F7">
      <w:pPr>
        <w:pStyle w:val="NormalWeb"/>
        <w:spacing w:before="240" w:beforeAutospacing="0" w:after="240" w:afterAutospacing="0"/>
        <w:jc w:val="both"/>
        <w:textAlignment w:val="baseline"/>
        <w:rPr>
          <w:b/>
          <w:bCs/>
          <w:color w:val="000000"/>
          <w:spacing w:val="20"/>
          <w:sz w:val="22"/>
          <w:szCs w:val="22"/>
        </w:rPr>
      </w:pPr>
      <w:proofErr w:type="gramStart"/>
      <w:r w:rsidRPr="001445C1">
        <w:rPr>
          <w:color w:val="000000"/>
          <w:spacing w:val="20"/>
          <w:sz w:val="22"/>
          <w:szCs w:val="22"/>
        </w:rPr>
        <w:t xml:space="preserve">Provider </w:t>
      </w:r>
      <w:r w:rsidR="00B717DB" w:rsidRPr="001445C1">
        <w:rPr>
          <w:color w:val="000000"/>
          <w:spacing w:val="20"/>
          <w:sz w:val="22"/>
          <w:szCs w:val="22"/>
        </w:rPr>
        <w:t xml:space="preserve">shall indemnify and hold harmless Institution, its agencies, officers, employees, students, agents and volunteers from any and all costs, demands, expenses, losses, claims, damages, liabilities, settlements and judgments, including in-house and contracted attorneys’ fees and expenses, arising out of: (a) any breach or violation by </w:t>
      </w:r>
      <w:r w:rsidR="00E5023A">
        <w:rPr>
          <w:color w:val="000000"/>
          <w:spacing w:val="20"/>
          <w:sz w:val="22"/>
          <w:szCs w:val="22"/>
        </w:rPr>
        <w:t>Provider</w:t>
      </w:r>
      <w:r w:rsidR="00B717DB" w:rsidRPr="001445C1">
        <w:rPr>
          <w:color w:val="000000"/>
          <w:spacing w:val="20"/>
          <w:sz w:val="22"/>
          <w:szCs w:val="22"/>
        </w:rPr>
        <w:t xml:space="preserve"> of any of its certifications, representations, warranties, covenants or agreements; (b) any actual or alleged death or injury to any person, damage to any real or personal property, or any other damage or loss claimed to result in whole or in part from </w:t>
      </w:r>
      <w:r w:rsidR="00E5023A">
        <w:rPr>
          <w:color w:val="000000"/>
          <w:spacing w:val="20"/>
          <w:sz w:val="22"/>
          <w:szCs w:val="22"/>
        </w:rPr>
        <w:t>Provider</w:t>
      </w:r>
      <w:r w:rsidR="00B717DB" w:rsidRPr="001445C1">
        <w:rPr>
          <w:color w:val="000000"/>
          <w:spacing w:val="20"/>
          <w:sz w:val="22"/>
          <w:szCs w:val="22"/>
        </w:rPr>
        <w:t xml:space="preserve">’s negligent performance; (c) any act, activity or omission of </w:t>
      </w:r>
      <w:r w:rsidR="00E5023A">
        <w:rPr>
          <w:color w:val="000000"/>
          <w:spacing w:val="20"/>
          <w:sz w:val="22"/>
          <w:szCs w:val="22"/>
        </w:rPr>
        <w:t>Provider</w:t>
      </w:r>
      <w:r w:rsidR="00B717DB" w:rsidRPr="001445C1">
        <w:rPr>
          <w:color w:val="000000"/>
          <w:spacing w:val="20"/>
          <w:sz w:val="22"/>
          <w:szCs w:val="22"/>
        </w:rPr>
        <w:t xml:space="preserve"> or any of its employees, representatives, subcontractors or agents; or (d) any actual or alleged claim that the services or goods provided under this contract infringe, misappropriate, or otherwise violate any intellectual property (patent, copyright, trade secret, or trademark) rights of a third party. </w:t>
      </w:r>
      <w:proofErr w:type="gramEnd"/>
      <w:r w:rsidR="00B717DB" w:rsidRPr="001445C1">
        <w:rPr>
          <w:color w:val="000000"/>
          <w:spacing w:val="20"/>
          <w:sz w:val="22"/>
          <w:szCs w:val="22"/>
        </w:rPr>
        <w:t xml:space="preserve"> In accordance </w:t>
      </w:r>
      <w:r w:rsidR="00B717DB" w:rsidRPr="00E5023A">
        <w:rPr>
          <w:spacing w:val="20"/>
          <w:sz w:val="22"/>
          <w:szCs w:val="22"/>
        </w:rPr>
        <w:t xml:space="preserve">with </w:t>
      </w:r>
      <w:r w:rsidR="00BF233D" w:rsidRPr="00E5023A">
        <w:rPr>
          <w:spacing w:val="20"/>
          <w:sz w:val="22"/>
          <w:szCs w:val="22"/>
        </w:rPr>
        <w:t>Article IX, §8</w:t>
      </w:r>
      <w:r w:rsidR="00B717DB" w:rsidRPr="00E5023A">
        <w:rPr>
          <w:spacing w:val="20"/>
          <w:sz w:val="22"/>
          <w:szCs w:val="22"/>
        </w:rPr>
        <w:t xml:space="preserve"> of the Constitution of the State of New Mexico and </w:t>
      </w:r>
      <w:r w:rsidR="00BF233D" w:rsidRPr="00E5023A">
        <w:rPr>
          <w:i/>
          <w:spacing w:val="20"/>
          <w:sz w:val="22"/>
          <w:szCs w:val="22"/>
        </w:rPr>
        <w:t xml:space="preserve">State Office </w:t>
      </w:r>
      <w:proofErr w:type="spellStart"/>
      <w:r w:rsidR="00BF233D" w:rsidRPr="00E5023A">
        <w:rPr>
          <w:i/>
          <w:spacing w:val="20"/>
          <w:sz w:val="22"/>
          <w:szCs w:val="22"/>
        </w:rPr>
        <w:t>Bldg</w:t>
      </w:r>
      <w:proofErr w:type="spellEnd"/>
      <w:r w:rsidR="00BF233D" w:rsidRPr="00E5023A">
        <w:rPr>
          <w:i/>
          <w:spacing w:val="20"/>
          <w:sz w:val="22"/>
          <w:szCs w:val="22"/>
        </w:rPr>
        <w:t xml:space="preserve"> </w:t>
      </w:r>
      <w:proofErr w:type="spellStart"/>
      <w:r w:rsidR="00BF233D" w:rsidRPr="00E5023A">
        <w:rPr>
          <w:i/>
          <w:spacing w:val="20"/>
          <w:sz w:val="22"/>
          <w:szCs w:val="22"/>
        </w:rPr>
        <w:t>Comm’n</w:t>
      </w:r>
      <w:proofErr w:type="spellEnd"/>
      <w:r w:rsidR="00BF233D" w:rsidRPr="00E5023A">
        <w:rPr>
          <w:i/>
          <w:spacing w:val="20"/>
          <w:sz w:val="22"/>
          <w:szCs w:val="22"/>
        </w:rPr>
        <w:t xml:space="preserve"> v. Trujillo,</w:t>
      </w:r>
      <w:r w:rsidR="00BF233D" w:rsidRPr="00E5023A">
        <w:rPr>
          <w:spacing w:val="20"/>
          <w:sz w:val="22"/>
          <w:szCs w:val="22"/>
        </w:rPr>
        <w:t xml:space="preserve"> 1941-NMSC-051, 46 N.M. 29, agencies of the State</w:t>
      </w:r>
      <w:r w:rsidR="00B717DB" w:rsidRPr="00E5023A">
        <w:rPr>
          <w:spacing w:val="20"/>
          <w:sz w:val="22"/>
          <w:szCs w:val="22"/>
        </w:rPr>
        <w:t xml:space="preserve"> may not indemnify private parties absent express statutory authority permitting the indemnification</w:t>
      </w:r>
      <w:r w:rsidR="00B717DB" w:rsidRPr="001445C1">
        <w:rPr>
          <w:color w:val="000000"/>
          <w:spacing w:val="20"/>
          <w:sz w:val="22"/>
          <w:szCs w:val="22"/>
        </w:rPr>
        <w:t xml:space="preserve">.  </w:t>
      </w:r>
    </w:p>
    <w:p w:rsidR="00417D4A" w:rsidRPr="001445C1" w:rsidRDefault="00417D4A" w:rsidP="00BA34F7">
      <w:pPr>
        <w:pStyle w:val="Heading1"/>
        <w:jc w:val="both"/>
        <w:rPr>
          <w:rFonts w:ascii="Times New Roman" w:hAnsi="Times New Roman" w:cs="Times New Roman"/>
        </w:rPr>
      </w:pPr>
      <w:bookmarkStart w:id="5" w:name="_Toc113431277"/>
      <w:r w:rsidRPr="001445C1">
        <w:rPr>
          <w:rFonts w:ascii="Times New Roman" w:hAnsi="Times New Roman" w:cs="Times New Roman"/>
        </w:rPr>
        <w:t>INSURANCE</w:t>
      </w:r>
      <w:bookmarkEnd w:id="5"/>
    </w:p>
    <w:p w:rsidR="00417D4A" w:rsidRPr="001445C1" w:rsidRDefault="00A14972" w:rsidP="00BA34F7">
      <w:pPr>
        <w:pStyle w:val="NormalWeb"/>
        <w:spacing w:before="240" w:beforeAutospacing="0" w:after="240" w:afterAutospacing="0"/>
        <w:jc w:val="both"/>
        <w:textAlignment w:val="baseline"/>
        <w:rPr>
          <w:b/>
          <w:bCs/>
          <w:color w:val="000000"/>
          <w:spacing w:val="20"/>
          <w:sz w:val="22"/>
          <w:szCs w:val="22"/>
        </w:rPr>
      </w:pPr>
      <w:r w:rsidRPr="001445C1">
        <w:rPr>
          <w:color w:val="000000"/>
          <w:spacing w:val="20"/>
          <w:sz w:val="22"/>
          <w:szCs w:val="22"/>
        </w:rPr>
        <w:lastRenderedPageBreak/>
        <w:t>Provider</w:t>
      </w:r>
      <w:r w:rsidR="00417D4A" w:rsidRPr="001445C1">
        <w:rPr>
          <w:color w:val="000000"/>
          <w:spacing w:val="20"/>
          <w:sz w:val="22"/>
          <w:szCs w:val="22"/>
        </w:rPr>
        <w:t xml:space="preserve"> shall, at all times during the term and any renewals maintain and provide a Certificate of Insurance naming the State as additionally insured for all required bonds and insurance.  Certificates may not be modified or canc</w:t>
      </w:r>
      <w:r w:rsidR="00E5023A">
        <w:rPr>
          <w:color w:val="000000"/>
          <w:spacing w:val="20"/>
          <w:sz w:val="22"/>
          <w:szCs w:val="22"/>
        </w:rPr>
        <w:t xml:space="preserve">eled until at least </w:t>
      </w:r>
      <w:proofErr w:type="gramStart"/>
      <w:r w:rsidR="00E5023A">
        <w:rPr>
          <w:color w:val="000000"/>
          <w:spacing w:val="20"/>
          <w:sz w:val="22"/>
          <w:szCs w:val="22"/>
        </w:rPr>
        <w:t xml:space="preserve">thirty (30) </w:t>
      </w:r>
      <w:r w:rsidR="00417D4A" w:rsidRPr="001445C1">
        <w:rPr>
          <w:color w:val="000000"/>
          <w:spacing w:val="20"/>
          <w:sz w:val="22"/>
          <w:szCs w:val="22"/>
        </w:rPr>
        <w:t>days</w:t>
      </w:r>
      <w:proofErr w:type="gramEnd"/>
      <w:r w:rsidR="00417D4A" w:rsidRPr="001445C1">
        <w:rPr>
          <w:color w:val="000000"/>
          <w:spacing w:val="20"/>
          <w:sz w:val="22"/>
          <w:szCs w:val="22"/>
        </w:rPr>
        <w:t xml:space="preserve">’ notice has been provided to the State.  </w:t>
      </w:r>
      <w:r w:rsidR="00E5023A">
        <w:rPr>
          <w:color w:val="000000"/>
          <w:spacing w:val="20"/>
          <w:sz w:val="22"/>
          <w:szCs w:val="22"/>
        </w:rPr>
        <w:t>Provider</w:t>
      </w:r>
      <w:r w:rsidR="00417D4A" w:rsidRPr="001445C1">
        <w:rPr>
          <w:color w:val="000000"/>
          <w:spacing w:val="20"/>
          <w:sz w:val="22"/>
          <w:szCs w:val="22"/>
        </w:rPr>
        <w:t xml:space="preserve"> shall </w:t>
      </w:r>
      <w:proofErr w:type="gramStart"/>
      <w:r w:rsidR="00417D4A" w:rsidRPr="001445C1">
        <w:rPr>
          <w:color w:val="000000"/>
          <w:spacing w:val="20"/>
          <w:sz w:val="22"/>
          <w:szCs w:val="22"/>
        </w:rPr>
        <w:t>provide:</w:t>
      </w:r>
      <w:proofErr w:type="gramEnd"/>
      <w:r w:rsidR="00417D4A" w:rsidRPr="001445C1">
        <w:rPr>
          <w:color w:val="000000"/>
          <w:spacing w:val="20"/>
          <w:sz w:val="22"/>
          <w:szCs w:val="22"/>
        </w:rPr>
        <w:t xml:space="preserve"> (a) General Commercial Liability occurrence form in amount </w:t>
      </w:r>
      <w:r w:rsidR="00417D4A" w:rsidRPr="00E5023A">
        <w:rPr>
          <w:spacing w:val="20"/>
          <w:sz w:val="22"/>
          <w:szCs w:val="22"/>
        </w:rPr>
        <w:t xml:space="preserve">of $1,000,000 per occurrence (Combined Single Limit Bodily Injury and Property Damage) and $2,000,000 Annual Aggregate; (b) Auto Liability, including Hired Auto and Non-owned Auto, (Combined Single Limit Bodily Injury and Property Damage) in amount of $1,000,000 </w:t>
      </w:r>
      <w:r w:rsidR="00417D4A" w:rsidRPr="001445C1">
        <w:rPr>
          <w:color w:val="000000"/>
          <w:spacing w:val="20"/>
          <w:sz w:val="22"/>
          <w:szCs w:val="22"/>
        </w:rPr>
        <w:t xml:space="preserve">per occurrence; and (c) Worker’s Compensation Insurance in amount required by law.  Insurance shall not limit </w:t>
      </w:r>
      <w:r w:rsidR="00E5023A">
        <w:rPr>
          <w:color w:val="000000"/>
          <w:spacing w:val="20"/>
          <w:sz w:val="22"/>
          <w:szCs w:val="22"/>
        </w:rPr>
        <w:t>Provider</w:t>
      </w:r>
      <w:r w:rsidR="00417D4A" w:rsidRPr="001445C1">
        <w:rPr>
          <w:color w:val="000000"/>
          <w:spacing w:val="20"/>
          <w:sz w:val="22"/>
          <w:szCs w:val="22"/>
        </w:rPr>
        <w:t>’s obligation to indemnify, defend, or settle any claims.</w:t>
      </w:r>
    </w:p>
    <w:p w:rsidR="00417D4A" w:rsidRPr="001445C1" w:rsidRDefault="00417D4A" w:rsidP="00BA34F7">
      <w:pPr>
        <w:pStyle w:val="Heading1"/>
        <w:jc w:val="both"/>
        <w:rPr>
          <w:rFonts w:ascii="Times New Roman" w:hAnsi="Times New Roman" w:cs="Times New Roman"/>
        </w:rPr>
      </w:pPr>
      <w:bookmarkStart w:id="6" w:name="_Toc113431278"/>
      <w:r w:rsidRPr="001445C1">
        <w:rPr>
          <w:rFonts w:ascii="Times New Roman" w:hAnsi="Times New Roman" w:cs="Times New Roman"/>
        </w:rPr>
        <w:t>INDEPENDENT CONTRACTOR</w:t>
      </w:r>
      <w:bookmarkEnd w:id="6"/>
    </w:p>
    <w:p w:rsidR="00B717DB" w:rsidRPr="001445C1" w:rsidRDefault="00A14972" w:rsidP="00BA34F7">
      <w:pPr>
        <w:spacing w:before="240" w:after="240"/>
        <w:jc w:val="both"/>
        <w:rPr>
          <w:rFonts w:ascii="Times New Roman" w:hAnsi="Times New Roman" w:cs="Times New Roman"/>
          <w:color w:val="000000"/>
          <w:spacing w:val="20"/>
          <w:sz w:val="22"/>
          <w:szCs w:val="22"/>
        </w:rPr>
      </w:pPr>
      <w:r w:rsidRPr="001445C1">
        <w:rPr>
          <w:rFonts w:ascii="Times New Roman" w:hAnsi="Times New Roman" w:cs="Times New Roman"/>
          <w:color w:val="000000"/>
          <w:spacing w:val="20"/>
          <w:sz w:val="22"/>
          <w:szCs w:val="22"/>
        </w:rPr>
        <w:t>Provider</w:t>
      </w:r>
      <w:r w:rsidR="00417D4A" w:rsidRPr="001445C1">
        <w:rPr>
          <w:rFonts w:ascii="Times New Roman" w:hAnsi="Times New Roman" w:cs="Times New Roman"/>
          <w:color w:val="000000"/>
          <w:spacing w:val="20"/>
          <w:sz w:val="22"/>
          <w:szCs w:val="22"/>
        </w:rPr>
        <w:t xml:space="preserve"> shall act as an independent contractor and not an agent or employee of, or joint venture with the State</w:t>
      </w:r>
      <w:r w:rsidR="004D5916">
        <w:rPr>
          <w:rFonts w:ascii="Times New Roman" w:hAnsi="Times New Roman" w:cs="Times New Roman"/>
          <w:color w:val="000000"/>
          <w:spacing w:val="20"/>
          <w:sz w:val="22"/>
          <w:szCs w:val="22"/>
        </w:rPr>
        <w:t xml:space="preserve"> or other external entity not included in this MOA</w:t>
      </w:r>
      <w:r w:rsidR="00417D4A" w:rsidRPr="001445C1">
        <w:rPr>
          <w:rFonts w:ascii="Times New Roman" w:hAnsi="Times New Roman" w:cs="Times New Roman"/>
          <w:color w:val="000000"/>
          <w:spacing w:val="20"/>
          <w:sz w:val="22"/>
          <w:szCs w:val="22"/>
        </w:rPr>
        <w:t xml:space="preserve">.  All payments by the Institution </w:t>
      </w:r>
      <w:proofErr w:type="gramStart"/>
      <w:r w:rsidR="00417D4A" w:rsidRPr="001445C1">
        <w:rPr>
          <w:rFonts w:ascii="Times New Roman" w:hAnsi="Times New Roman" w:cs="Times New Roman"/>
          <w:color w:val="000000"/>
          <w:spacing w:val="20"/>
          <w:sz w:val="22"/>
          <w:szCs w:val="22"/>
        </w:rPr>
        <w:t>shall</w:t>
      </w:r>
      <w:r w:rsidR="00E5023A">
        <w:rPr>
          <w:rFonts w:ascii="Times New Roman" w:hAnsi="Times New Roman" w:cs="Times New Roman"/>
          <w:color w:val="000000"/>
          <w:spacing w:val="20"/>
          <w:sz w:val="22"/>
          <w:szCs w:val="22"/>
        </w:rPr>
        <w:t xml:space="preserve"> </w:t>
      </w:r>
      <w:r w:rsidR="00417D4A" w:rsidRPr="001445C1">
        <w:rPr>
          <w:rFonts w:ascii="Times New Roman" w:hAnsi="Times New Roman" w:cs="Times New Roman"/>
          <w:color w:val="000000"/>
          <w:spacing w:val="20"/>
          <w:sz w:val="22"/>
          <w:szCs w:val="22"/>
        </w:rPr>
        <w:t>be made</w:t>
      </w:r>
      <w:proofErr w:type="gramEnd"/>
      <w:r w:rsidR="00417D4A" w:rsidRPr="001445C1">
        <w:rPr>
          <w:rFonts w:ascii="Times New Roman" w:hAnsi="Times New Roman" w:cs="Times New Roman"/>
          <w:color w:val="000000"/>
          <w:spacing w:val="20"/>
          <w:sz w:val="22"/>
          <w:szCs w:val="22"/>
        </w:rPr>
        <w:t xml:space="preserve"> on that basis</w:t>
      </w:r>
      <w:r w:rsidR="004C26F0" w:rsidRPr="001445C1">
        <w:rPr>
          <w:rFonts w:ascii="Times New Roman" w:hAnsi="Times New Roman" w:cs="Times New Roman"/>
          <w:color w:val="000000"/>
          <w:spacing w:val="20"/>
          <w:sz w:val="22"/>
          <w:szCs w:val="22"/>
        </w:rPr>
        <w:t>.</w:t>
      </w:r>
    </w:p>
    <w:p w:rsidR="004C26F0" w:rsidRPr="001445C1" w:rsidRDefault="004C26F0" w:rsidP="00BA34F7">
      <w:pPr>
        <w:pStyle w:val="Heading1"/>
        <w:jc w:val="both"/>
        <w:rPr>
          <w:rFonts w:ascii="Times New Roman" w:hAnsi="Times New Roman" w:cs="Times New Roman"/>
        </w:rPr>
      </w:pPr>
      <w:bookmarkStart w:id="7" w:name="_Toc113431279"/>
      <w:r w:rsidRPr="001445C1">
        <w:rPr>
          <w:rFonts w:ascii="Times New Roman" w:hAnsi="Times New Roman" w:cs="Times New Roman"/>
        </w:rPr>
        <w:t>SECURITY REQUIREMENTS</w:t>
      </w:r>
      <w:bookmarkEnd w:id="7"/>
    </w:p>
    <w:p w:rsidR="004C26F0" w:rsidRPr="001445C1" w:rsidRDefault="004C26F0" w:rsidP="00BA34F7">
      <w:pPr>
        <w:spacing w:before="240" w:after="240"/>
        <w:jc w:val="both"/>
        <w:rPr>
          <w:rFonts w:ascii="Times New Roman" w:hAnsi="Times New Roman" w:cs="Times New Roman"/>
          <w:spacing w:val="20"/>
          <w:sz w:val="22"/>
          <w:szCs w:val="22"/>
        </w:rPr>
      </w:pPr>
      <w:r w:rsidRPr="001445C1">
        <w:rPr>
          <w:rFonts w:ascii="Times New Roman" w:hAnsi="Times New Roman" w:cs="Times New Roman"/>
          <w:spacing w:val="20"/>
          <w:sz w:val="22"/>
          <w:szCs w:val="22"/>
        </w:rPr>
        <w:t xml:space="preserve">The New Mexico Institute of Mining and Technology </w:t>
      </w:r>
      <w:r w:rsidR="00DC10BF" w:rsidRPr="001445C1">
        <w:rPr>
          <w:rFonts w:ascii="Times New Roman" w:hAnsi="Times New Roman" w:cs="Times New Roman"/>
          <w:spacing w:val="20"/>
          <w:sz w:val="22"/>
          <w:szCs w:val="22"/>
        </w:rPr>
        <w:t xml:space="preserve">(NMT) </w:t>
      </w:r>
      <w:r w:rsidRPr="001445C1">
        <w:rPr>
          <w:rFonts w:ascii="Times New Roman" w:hAnsi="Times New Roman" w:cs="Times New Roman"/>
          <w:spacing w:val="20"/>
          <w:sz w:val="22"/>
          <w:szCs w:val="22"/>
        </w:rPr>
        <w:t xml:space="preserve">has specific security requirements for information and systems.  </w:t>
      </w:r>
      <w:r w:rsidR="00E5023A">
        <w:rPr>
          <w:rFonts w:ascii="Times New Roman" w:hAnsi="Times New Roman" w:cs="Times New Roman"/>
          <w:spacing w:val="20"/>
          <w:sz w:val="22"/>
          <w:szCs w:val="22"/>
        </w:rPr>
        <w:t>Provider</w:t>
      </w:r>
      <w:r w:rsidRPr="001445C1">
        <w:rPr>
          <w:rFonts w:ascii="Times New Roman" w:hAnsi="Times New Roman" w:cs="Times New Roman"/>
          <w:spacing w:val="20"/>
          <w:sz w:val="22"/>
          <w:szCs w:val="22"/>
        </w:rPr>
        <w:t xml:space="preserve"> must ensure these requirements </w:t>
      </w:r>
      <w:proofErr w:type="gramStart"/>
      <w:r w:rsidRPr="001445C1">
        <w:rPr>
          <w:rFonts w:ascii="Times New Roman" w:hAnsi="Times New Roman" w:cs="Times New Roman"/>
          <w:spacing w:val="20"/>
          <w:sz w:val="22"/>
          <w:szCs w:val="22"/>
        </w:rPr>
        <w:t>are fully understood</w:t>
      </w:r>
      <w:proofErr w:type="gramEnd"/>
      <w:r w:rsidRPr="001445C1">
        <w:rPr>
          <w:rFonts w:ascii="Times New Roman" w:hAnsi="Times New Roman" w:cs="Times New Roman"/>
          <w:spacing w:val="20"/>
          <w:sz w:val="22"/>
          <w:szCs w:val="22"/>
        </w:rPr>
        <w:t xml:space="preserve"> and allocate sufficient project time and resources to address the security requirements.</w:t>
      </w:r>
    </w:p>
    <w:p w:rsidR="004C26F0" w:rsidRPr="001445C1" w:rsidRDefault="004C26F0" w:rsidP="00BA34F7">
      <w:pPr>
        <w:spacing w:before="240" w:after="240"/>
        <w:jc w:val="both"/>
        <w:rPr>
          <w:rFonts w:ascii="Times New Roman" w:hAnsi="Times New Roman" w:cs="Times New Roman"/>
          <w:color w:val="FF0000"/>
          <w:spacing w:val="20"/>
          <w:sz w:val="22"/>
          <w:szCs w:val="22"/>
        </w:rPr>
      </w:pPr>
      <w:r w:rsidRPr="001445C1">
        <w:rPr>
          <w:rFonts w:ascii="Times New Roman" w:hAnsi="Times New Roman" w:cs="Times New Roman"/>
          <w:spacing w:val="20"/>
          <w:sz w:val="22"/>
          <w:szCs w:val="22"/>
        </w:rPr>
        <w:t xml:space="preserve">An information security risk assessment, data classification and system categorization process and the submission of a system security plan must be completed and submitted to the </w:t>
      </w:r>
      <w:r w:rsidR="00BE72A4" w:rsidRPr="001445C1">
        <w:rPr>
          <w:rFonts w:ascii="Times New Roman" w:hAnsi="Times New Roman" w:cs="Times New Roman"/>
          <w:spacing w:val="20"/>
          <w:sz w:val="22"/>
          <w:szCs w:val="22"/>
        </w:rPr>
        <w:t>NMT Information Security Officer, Information Security Division of Information Technology and Communication (ITC)</w:t>
      </w:r>
      <w:r w:rsidRPr="001445C1">
        <w:rPr>
          <w:rFonts w:ascii="Times New Roman" w:hAnsi="Times New Roman" w:cs="Times New Roman"/>
          <w:spacing w:val="20"/>
          <w:sz w:val="22"/>
          <w:szCs w:val="22"/>
        </w:rPr>
        <w:t xml:space="preserve"> prior to the commencement of system development or solution delivery activities. </w:t>
      </w:r>
      <w:r w:rsidR="00E5023A">
        <w:rPr>
          <w:rFonts w:ascii="Times New Roman" w:hAnsi="Times New Roman" w:cs="Times New Roman"/>
          <w:spacing w:val="20"/>
          <w:sz w:val="22"/>
          <w:szCs w:val="22"/>
        </w:rPr>
        <w:t>Provider</w:t>
      </w:r>
      <w:r w:rsidRPr="001445C1">
        <w:rPr>
          <w:rFonts w:ascii="Times New Roman" w:hAnsi="Times New Roman" w:cs="Times New Roman"/>
          <w:spacing w:val="20"/>
          <w:sz w:val="22"/>
          <w:szCs w:val="22"/>
        </w:rPr>
        <w:t xml:space="preserve"> must participate with the risk assessment and data classification and system categorization process. The </w:t>
      </w:r>
      <w:proofErr w:type="gramStart"/>
      <w:r w:rsidRPr="001445C1">
        <w:rPr>
          <w:rFonts w:ascii="Times New Roman" w:hAnsi="Times New Roman" w:cs="Times New Roman"/>
          <w:spacing w:val="20"/>
          <w:sz w:val="22"/>
          <w:szCs w:val="22"/>
        </w:rPr>
        <w:t>formal risk assessment, data classification and system categorization process will be administered by the Information Security Team, Division of Information Technology and Communication (ITC)</w:t>
      </w:r>
      <w:proofErr w:type="gramEnd"/>
      <w:r w:rsidRPr="001445C1">
        <w:rPr>
          <w:rFonts w:ascii="Times New Roman" w:hAnsi="Times New Roman" w:cs="Times New Roman"/>
          <w:spacing w:val="20"/>
          <w:sz w:val="22"/>
          <w:szCs w:val="22"/>
        </w:rPr>
        <w:t xml:space="preserve">.  Vender program and project management personnel must ensure the coordination of these activities with </w:t>
      </w:r>
      <w:r w:rsidR="00DC10BF" w:rsidRPr="001445C1">
        <w:rPr>
          <w:rFonts w:ascii="Times New Roman" w:hAnsi="Times New Roman" w:cs="Times New Roman"/>
          <w:spacing w:val="20"/>
          <w:sz w:val="22"/>
          <w:szCs w:val="22"/>
        </w:rPr>
        <w:t>NMT</w:t>
      </w:r>
      <w:r w:rsidRPr="001445C1">
        <w:rPr>
          <w:rFonts w:ascii="Times New Roman" w:hAnsi="Times New Roman" w:cs="Times New Roman"/>
          <w:spacing w:val="20"/>
          <w:sz w:val="22"/>
          <w:szCs w:val="22"/>
        </w:rPr>
        <w:t xml:space="preserve"> program a</w:t>
      </w:r>
      <w:r w:rsidR="00DC10BF" w:rsidRPr="001445C1">
        <w:rPr>
          <w:rFonts w:ascii="Times New Roman" w:hAnsi="Times New Roman" w:cs="Times New Roman"/>
          <w:spacing w:val="20"/>
          <w:sz w:val="22"/>
          <w:szCs w:val="22"/>
        </w:rPr>
        <w:t xml:space="preserve">nd project management personnel. </w:t>
      </w:r>
      <w:r w:rsidRPr="001445C1">
        <w:rPr>
          <w:rFonts w:ascii="Times New Roman" w:hAnsi="Times New Roman" w:cs="Times New Roman"/>
          <w:spacing w:val="20"/>
          <w:sz w:val="22"/>
          <w:szCs w:val="22"/>
        </w:rPr>
        <w:t xml:space="preserve">If not specifically addressed in other </w:t>
      </w:r>
      <w:r w:rsidR="00E5023A">
        <w:rPr>
          <w:rFonts w:ascii="Times New Roman" w:hAnsi="Times New Roman" w:cs="Times New Roman"/>
          <w:spacing w:val="20"/>
          <w:sz w:val="22"/>
          <w:szCs w:val="22"/>
        </w:rPr>
        <w:t>Provider</w:t>
      </w:r>
      <w:r w:rsidRPr="001445C1">
        <w:rPr>
          <w:rFonts w:ascii="Times New Roman" w:hAnsi="Times New Roman" w:cs="Times New Roman"/>
          <w:spacing w:val="20"/>
          <w:sz w:val="22"/>
          <w:szCs w:val="22"/>
        </w:rPr>
        <w:t xml:space="preserve"> Information Technology Requirements, </w:t>
      </w:r>
      <w:r w:rsidR="00E5023A">
        <w:rPr>
          <w:rFonts w:ascii="Times New Roman" w:hAnsi="Times New Roman" w:cs="Times New Roman"/>
          <w:spacing w:val="20"/>
          <w:sz w:val="22"/>
          <w:szCs w:val="22"/>
        </w:rPr>
        <w:t>Provider</w:t>
      </w:r>
      <w:r w:rsidRPr="001445C1">
        <w:rPr>
          <w:rFonts w:ascii="Times New Roman" w:hAnsi="Times New Roman" w:cs="Times New Roman"/>
          <w:spacing w:val="20"/>
          <w:sz w:val="22"/>
          <w:szCs w:val="22"/>
        </w:rPr>
        <w:t xml:space="preserve"> must adhere to State of </w:t>
      </w:r>
      <w:r w:rsidR="00DC10BF" w:rsidRPr="001445C1">
        <w:rPr>
          <w:rFonts w:ascii="Times New Roman" w:hAnsi="Times New Roman" w:cs="Times New Roman"/>
          <w:spacing w:val="20"/>
          <w:sz w:val="22"/>
          <w:szCs w:val="22"/>
        </w:rPr>
        <w:t>New Mexico</w:t>
      </w:r>
      <w:r w:rsidRPr="001445C1">
        <w:rPr>
          <w:rFonts w:ascii="Times New Roman" w:hAnsi="Times New Roman" w:cs="Times New Roman"/>
          <w:spacing w:val="20"/>
          <w:sz w:val="22"/>
          <w:szCs w:val="22"/>
        </w:rPr>
        <w:t xml:space="preserve"> and </w:t>
      </w:r>
      <w:r w:rsidR="00DC10BF" w:rsidRPr="001445C1">
        <w:rPr>
          <w:rFonts w:ascii="Times New Roman" w:hAnsi="Times New Roman" w:cs="Times New Roman"/>
          <w:spacing w:val="20"/>
          <w:sz w:val="22"/>
          <w:szCs w:val="22"/>
        </w:rPr>
        <w:t>N</w:t>
      </w:r>
      <w:r w:rsidR="00BE72A4" w:rsidRPr="001445C1">
        <w:rPr>
          <w:rFonts w:ascii="Times New Roman" w:hAnsi="Times New Roman" w:cs="Times New Roman"/>
          <w:spacing w:val="20"/>
          <w:sz w:val="22"/>
          <w:szCs w:val="22"/>
        </w:rPr>
        <w:t xml:space="preserve">MT </w:t>
      </w:r>
      <w:r w:rsidRPr="001445C1">
        <w:rPr>
          <w:rFonts w:ascii="Times New Roman" w:hAnsi="Times New Roman" w:cs="Times New Roman"/>
          <w:spacing w:val="20"/>
          <w:sz w:val="22"/>
          <w:szCs w:val="22"/>
        </w:rPr>
        <w:t xml:space="preserve">security </w:t>
      </w:r>
      <w:r w:rsidR="00BE72A4" w:rsidRPr="001445C1">
        <w:rPr>
          <w:rFonts w:ascii="Times New Roman" w:hAnsi="Times New Roman" w:cs="Times New Roman"/>
          <w:spacing w:val="20"/>
          <w:sz w:val="22"/>
          <w:szCs w:val="22"/>
        </w:rPr>
        <w:t xml:space="preserve">policies, procedures, and standards.  </w:t>
      </w:r>
    </w:p>
    <w:p w:rsidR="004C26F0" w:rsidRPr="001445C1" w:rsidRDefault="00E5023A" w:rsidP="00BA34F7">
      <w:pPr>
        <w:spacing w:before="240" w:after="240"/>
        <w:jc w:val="both"/>
        <w:rPr>
          <w:rFonts w:ascii="Times New Roman" w:hAnsi="Times New Roman" w:cs="Times New Roman"/>
          <w:spacing w:val="20"/>
          <w:sz w:val="22"/>
          <w:szCs w:val="22"/>
        </w:rPr>
      </w:pPr>
      <w:r>
        <w:rPr>
          <w:rFonts w:ascii="Times New Roman" w:hAnsi="Times New Roman" w:cs="Times New Roman"/>
          <w:spacing w:val="20"/>
          <w:sz w:val="22"/>
          <w:szCs w:val="22"/>
        </w:rPr>
        <w:t>Provider</w:t>
      </w:r>
      <w:r w:rsidR="004C26F0" w:rsidRPr="001445C1">
        <w:rPr>
          <w:rFonts w:ascii="Times New Roman" w:hAnsi="Times New Roman" w:cs="Times New Roman"/>
          <w:spacing w:val="20"/>
          <w:sz w:val="22"/>
          <w:szCs w:val="22"/>
        </w:rPr>
        <w:t xml:space="preserve"> must also adhere to a </w:t>
      </w:r>
      <w:proofErr w:type="gramStart"/>
      <w:r w:rsidR="004C26F0" w:rsidRPr="001445C1">
        <w:rPr>
          <w:rFonts w:ascii="Times New Roman" w:hAnsi="Times New Roman" w:cs="Times New Roman"/>
          <w:spacing w:val="20"/>
          <w:sz w:val="22"/>
          <w:szCs w:val="22"/>
        </w:rPr>
        <w:t>minimum security</w:t>
      </w:r>
      <w:proofErr w:type="gramEnd"/>
      <w:r w:rsidR="004C26F0" w:rsidRPr="001445C1">
        <w:rPr>
          <w:rFonts w:ascii="Times New Roman" w:hAnsi="Times New Roman" w:cs="Times New Roman"/>
          <w:spacing w:val="20"/>
          <w:sz w:val="22"/>
          <w:szCs w:val="22"/>
        </w:rPr>
        <w:t xml:space="preserve"> baseline as identified in the National Institute of Standards and Technology (NIST) Special Publication 800-53, Revision 4, Security and Privacy Controls for Federal Systems and Organizations. If not specifically addressed in other </w:t>
      </w:r>
      <w:r>
        <w:rPr>
          <w:rFonts w:ascii="Times New Roman" w:hAnsi="Times New Roman" w:cs="Times New Roman"/>
          <w:spacing w:val="20"/>
          <w:sz w:val="22"/>
          <w:szCs w:val="22"/>
        </w:rPr>
        <w:t>Provider</w:t>
      </w:r>
      <w:r w:rsidR="004C26F0" w:rsidRPr="001445C1">
        <w:rPr>
          <w:rFonts w:ascii="Times New Roman" w:hAnsi="Times New Roman" w:cs="Times New Roman"/>
          <w:spacing w:val="20"/>
          <w:sz w:val="22"/>
          <w:szCs w:val="22"/>
        </w:rPr>
        <w:t xml:space="preserve"> Information Technology Requirements, </w:t>
      </w:r>
      <w:r>
        <w:rPr>
          <w:rFonts w:ascii="Times New Roman" w:hAnsi="Times New Roman" w:cs="Times New Roman"/>
          <w:spacing w:val="20"/>
          <w:sz w:val="22"/>
          <w:szCs w:val="22"/>
        </w:rPr>
        <w:t>Provider</w:t>
      </w:r>
      <w:r w:rsidR="004C26F0" w:rsidRPr="001445C1">
        <w:rPr>
          <w:rFonts w:ascii="Times New Roman" w:hAnsi="Times New Roman" w:cs="Times New Roman"/>
          <w:spacing w:val="20"/>
          <w:sz w:val="22"/>
          <w:szCs w:val="22"/>
        </w:rPr>
        <w:t xml:space="preserve">s must assure the adoption of, at minimum, the low security control baselines.  </w:t>
      </w:r>
      <w:proofErr w:type="gramStart"/>
      <w:r w:rsidR="004C26F0" w:rsidRPr="001445C1">
        <w:rPr>
          <w:rFonts w:ascii="Times New Roman" w:hAnsi="Times New Roman" w:cs="Times New Roman"/>
          <w:spacing w:val="20"/>
          <w:sz w:val="22"/>
          <w:szCs w:val="22"/>
        </w:rPr>
        <w:t xml:space="preserve">Exceptions to this requirement must be approved by the </w:t>
      </w:r>
      <w:r w:rsidR="00BE72A4" w:rsidRPr="001445C1">
        <w:rPr>
          <w:rFonts w:ascii="Times New Roman" w:hAnsi="Times New Roman" w:cs="Times New Roman"/>
          <w:spacing w:val="20"/>
          <w:sz w:val="22"/>
          <w:szCs w:val="22"/>
        </w:rPr>
        <w:t>NMT Information Security Officer, Information Security Division of Information Technology and Communication (ITC)</w:t>
      </w:r>
      <w:proofErr w:type="gramEnd"/>
      <w:r w:rsidR="004C26F0" w:rsidRPr="001445C1">
        <w:rPr>
          <w:rFonts w:ascii="Times New Roman" w:hAnsi="Times New Roman" w:cs="Times New Roman"/>
          <w:spacing w:val="20"/>
          <w:sz w:val="22"/>
          <w:szCs w:val="22"/>
        </w:rPr>
        <w:t>. </w:t>
      </w:r>
    </w:p>
    <w:p w:rsidR="00E5023A" w:rsidRDefault="004C26F0" w:rsidP="00BA34F7">
      <w:pPr>
        <w:spacing w:before="240" w:after="240"/>
        <w:jc w:val="both"/>
        <w:rPr>
          <w:rFonts w:ascii="Times New Roman" w:hAnsi="Times New Roman" w:cs="Times New Roman"/>
          <w:spacing w:val="20"/>
          <w:sz w:val="22"/>
          <w:szCs w:val="22"/>
        </w:rPr>
      </w:pPr>
      <w:r w:rsidRPr="001445C1">
        <w:rPr>
          <w:rFonts w:ascii="Times New Roman" w:hAnsi="Times New Roman" w:cs="Times New Roman"/>
          <w:spacing w:val="20"/>
          <w:sz w:val="22"/>
          <w:szCs w:val="22"/>
        </w:rPr>
        <w:t xml:space="preserve">Cloud solutions must adhere to recommendations of the Cloud Security Alliance. </w:t>
      </w:r>
      <w:r w:rsidR="00E5023A">
        <w:rPr>
          <w:rFonts w:ascii="Times New Roman" w:hAnsi="Times New Roman" w:cs="Times New Roman"/>
          <w:spacing w:val="20"/>
          <w:sz w:val="22"/>
          <w:szCs w:val="22"/>
        </w:rPr>
        <w:t>Provider</w:t>
      </w:r>
      <w:r w:rsidRPr="001445C1">
        <w:rPr>
          <w:rFonts w:ascii="Times New Roman" w:hAnsi="Times New Roman" w:cs="Times New Roman"/>
          <w:spacing w:val="20"/>
          <w:sz w:val="22"/>
          <w:szCs w:val="22"/>
        </w:rPr>
        <w:t xml:space="preserve">s may find guidance and cross-referencing to the NIST 800-53, Revision 4 with the Cloud Security Alliance controls </w:t>
      </w:r>
      <w:proofErr w:type="gramStart"/>
      <w:r w:rsidRPr="001445C1">
        <w:rPr>
          <w:rFonts w:ascii="Times New Roman" w:hAnsi="Times New Roman" w:cs="Times New Roman"/>
          <w:spacing w:val="20"/>
          <w:sz w:val="22"/>
          <w:szCs w:val="22"/>
        </w:rPr>
        <w:t>at</w:t>
      </w:r>
      <w:proofErr w:type="gramEnd"/>
      <w:r w:rsidR="00E5023A">
        <w:rPr>
          <w:rFonts w:ascii="Times New Roman" w:hAnsi="Times New Roman" w:cs="Times New Roman"/>
          <w:spacing w:val="20"/>
          <w:sz w:val="22"/>
          <w:szCs w:val="22"/>
        </w:rPr>
        <w:t>:</w:t>
      </w:r>
    </w:p>
    <w:p w:rsidR="004C26F0" w:rsidRPr="001445C1" w:rsidRDefault="004C26F0" w:rsidP="00BA34F7">
      <w:pPr>
        <w:spacing w:before="240" w:after="240"/>
        <w:jc w:val="both"/>
        <w:rPr>
          <w:rFonts w:ascii="Times New Roman" w:hAnsi="Times New Roman" w:cs="Times New Roman"/>
          <w:spacing w:val="20"/>
          <w:sz w:val="22"/>
          <w:szCs w:val="22"/>
        </w:rPr>
      </w:pPr>
      <w:r w:rsidRPr="001445C1">
        <w:rPr>
          <w:rFonts w:ascii="Times New Roman" w:hAnsi="Times New Roman" w:cs="Times New Roman"/>
          <w:spacing w:val="20"/>
          <w:sz w:val="22"/>
          <w:szCs w:val="22"/>
        </w:rPr>
        <w:lastRenderedPageBreak/>
        <w:t xml:space="preserve"> https://cloudsecurityalliance.org/download/cloud-controls-matrix-v3-0-1/</w:t>
      </w:r>
    </w:p>
    <w:p w:rsidR="004C26F0" w:rsidRPr="001445C1" w:rsidRDefault="004C26F0" w:rsidP="00BA34F7">
      <w:pPr>
        <w:spacing w:before="240" w:after="240"/>
        <w:jc w:val="both"/>
        <w:rPr>
          <w:rFonts w:ascii="Times New Roman" w:hAnsi="Times New Roman" w:cs="Times New Roman"/>
          <w:spacing w:val="20"/>
          <w:sz w:val="22"/>
          <w:szCs w:val="22"/>
        </w:rPr>
      </w:pPr>
      <w:r w:rsidRPr="001445C1">
        <w:rPr>
          <w:rFonts w:ascii="Times New Roman" w:hAnsi="Times New Roman" w:cs="Times New Roman"/>
          <w:spacing w:val="20"/>
          <w:sz w:val="22"/>
          <w:szCs w:val="22"/>
        </w:rPr>
        <w:t xml:space="preserve">State and Federal laws, rules and regulations as well as industry-specific guidelines require specific and often enhanced security controls on information and systems.  The State of </w:t>
      </w:r>
      <w:r w:rsidR="006327D5" w:rsidRPr="001445C1">
        <w:rPr>
          <w:rFonts w:ascii="Times New Roman" w:hAnsi="Times New Roman" w:cs="Times New Roman"/>
          <w:spacing w:val="20"/>
          <w:sz w:val="22"/>
          <w:szCs w:val="22"/>
        </w:rPr>
        <w:t>New Mexico</w:t>
      </w:r>
      <w:r w:rsidRPr="001445C1">
        <w:rPr>
          <w:rFonts w:ascii="Times New Roman" w:hAnsi="Times New Roman" w:cs="Times New Roman"/>
          <w:spacing w:val="20"/>
          <w:sz w:val="22"/>
          <w:szCs w:val="22"/>
        </w:rPr>
        <w:t xml:space="preserve"> is required to comply with the below laws, standards and regulations.  </w:t>
      </w:r>
      <w:r w:rsidR="00E5023A">
        <w:rPr>
          <w:rFonts w:ascii="Times New Roman" w:hAnsi="Times New Roman" w:cs="Times New Roman"/>
          <w:spacing w:val="20"/>
          <w:sz w:val="22"/>
          <w:szCs w:val="22"/>
        </w:rPr>
        <w:t>Provider</w:t>
      </w:r>
      <w:r w:rsidRPr="001445C1">
        <w:rPr>
          <w:rFonts w:ascii="Times New Roman" w:hAnsi="Times New Roman" w:cs="Times New Roman"/>
          <w:spacing w:val="20"/>
          <w:sz w:val="22"/>
          <w:szCs w:val="22"/>
        </w:rPr>
        <w:t>s must ensure compliance with the below as appropriate based upon the formal risk assessment to include a data classification and system categorization process.</w:t>
      </w:r>
    </w:p>
    <w:p w:rsidR="00A648BA" w:rsidRPr="001445C1" w:rsidRDefault="00A648BA" w:rsidP="00BA34F7">
      <w:pPr>
        <w:pStyle w:val="Heading1"/>
        <w:jc w:val="both"/>
        <w:rPr>
          <w:rFonts w:ascii="Times New Roman" w:hAnsi="Times New Roman" w:cs="Times New Roman"/>
        </w:rPr>
      </w:pPr>
      <w:bookmarkStart w:id="8" w:name="_Toc113431280"/>
      <w:r w:rsidRPr="001445C1">
        <w:rPr>
          <w:rFonts w:ascii="Times New Roman" w:hAnsi="Times New Roman" w:cs="Times New Roman"/>
        </w:rPr>
        <w:t>SYSTEM SECURITY CONSIDERATIONS</w:t>
      </w:r>
      <w:bookmarkEnd w:id="8"/>
    </w:p>
    <w:p w:rsidR="00A648BA" w:rsidRPr="001445C1" w:rsidRDefault="00A648BA" w:rsidP="00BA34F7">
      <w:pPr>
        <w:spacing w:before="240" w:after="240"/>
        <w:jc w:val="both"/>
        <w:rPr>
          <w:rFonts w:ascii="Times New Roman" w:eastAsia="Times New Roman" w:hAnsi="Times New Roman" w:cs="Times New Roman"/>
          <w:spacing w:val="20"/>
          <w:sz w:val="22"/>
          <w:szCs w:val="22"/>
        </w:rPr>
      </w:pPr>
      <w:r w:rsidRPr="001445C1">
        <w:rPr>
          <w:rFonts w:ascii="Times New Roman" w:eastAsia="Times New Roman" w:hAnsi="Times New Roman" w:cs="Times New Roman"/>
          <w:i/>
          <w:iCs/>
          <w:color w:val="000000"/>
          <w:spacing w:val="20"/>
          <w:sz w:val="22"/>
          <w:szCs w:val="22"/>
        </w:rPr>
        <w:t>The following items must be in</w:t>
      </w:r>
      <w:r w:rsidR="004C75E5" w:rsidRPr="001445C1">
        <w:rPr>
          <w:rFonts w:ascii="Times New Roman" w:eastAsia="Times New Roman" w:hAnsi="Times New Roman" w:cs="Times New Roman"/>
          <w:i/>
          <w:iCs/>
          <w:color w:val="000000"/>
          <w:spacing w:val="20"/>
          <w:sz w:val="22"/>
          <w:szCs w:val="22"/>
        </w:rPr>
        <w:t xml:space="preserve">cluded and answered in the </w:t>
      </w:r>
      <w:r w:rsidR="00C02A8A" w:rsidRPr="001445C1">
        <w:rPr>
          <w:rFonts w:ascii="Times New Roman" w:eastAsia="Times New Roman" w:hAnsi="Times New Roman" w:cs="Times New Roman"/>
          <w:i/>
          <w:iCs/>
          <w:color w:val="000000"/>
          <w:spacing w:val="20"/>
          <w:sz w:val="22"/>
          <w:szCs w:val="22"/>
        </w:rPr>
        <w:t>Agreement</w:t>
      </w:r>
      <w:r w:rsidR="004C75E5" w:rsidRPr="001445C1">
        <w:rPr>
          <w:rFonts w:ascii="Times New Roman" w:eastAsia="Times New Roman" w:hAnsi="Times New Roman" w:cs="Times New Roman"/>
          <w:i/>
          <w:iCs/>
          <w:color w:val="000000"/>
          <w:spacing w:val="20"/>
          <w:sz w:val="22"/>
          <w:szCs w:val="22"/>
        </w:rPr>
        <w:t>.</w:t>
      </w:r>
    </w:p>
    <w:p w:rsidR="0097057C" w:rsidRDefault="00A648BA" w:rsidP="00BA34F7">
      <w:pPr>
        <w:pStyle w:val="Heading2"/>
        <w:rPr>
          <w:rFonts w:ascii="Times New Roman" w:hAnsi="Times New Roman" w:cs="Times New Roman"/>
        </w:rPr>
      </w:pPr>
      <w:bookmarkStart w:id="9" w:name="_Toc113431281"/>
      <w:r w:rsidRPr="001445C1">
        <w:rPr>
          <w:rFonts w:ascii="Times New Roman" w:hAnsi="Times New Roman" w:cs="Times New Roman"/>
        </w:rPr>
        <w:t>General Information/Data Description.</w:t>
      </w:r>
      <w:bookmarkEnd w:id="9"/>
      <w:r w:rsidRPr="001445C1">
        <w:rPr>
          <w:rFonts w:ascii="Times New Roman" w:hAnsi="Times New Roman" w:cs="Times New Roman"/>
        </w:rPr>
        <w:t xml:space="preserve">  </w:t>
      </w:r>
    </w:p>
    <w:p w:rsidR="001357DD" w:rsidRPr="001357DD" w:rsidRDefault="001357DD" w:rsidP="00BA34F7">
      <w:pPr>
        <w:spacing w:before="240" w:after="240"/>
        <w:jc w:val="both"/>
        <w:rPr>
          <w:rFonts w:eastAsia="Times New Roman"/>
          <w:color w:val="FF0000"/>
          <w:spacing w:val="20"/>
          <w:sz w:val="22"/>
          <w:szCs w:val="22"/>
        </w:rPr>
      </w:pPr>
      <w:r w:rsidRPr="00C02A8A">
        <w:rPr>
          <w:rFonts w:eastAsia="Times New Roman"/>
          <w:i/>
          <w:iCs/>
          <w:color w:val="FF0000"/>
          <w:spacing w:val="20"/>
          <w:sz w:val="22"/>
          <w:szCs w:val="22"/>
        </w:rPr>
        <w:t xml:space="preserve">[At a general level, describe the information/data </w:t>
      </w:r>
      <w:proofErr w:type="gramStart"/>
      <w:r w:rsidRPr="00C02A8A">
        <w:rPr>
          <w:rFonts w:eastAsia="Times New Roman"/>
          <w:i/>
          <w:iCs/>
          <w:color w:val="FF0000"/>
          <w:spacing w:val="20"/>
          <w:sz w:val="22"/>
          <w:szCs w:val="22"/>
        </w:rPr>
        <w:t>being made</w:t>
      </w:r>
      <w:proofErr w:type="gramEnd"/>
      <w:r w:rsidRPr="00C02A8A">
        <w:rPr>
          <w:rFonts w:eastAsia="Times New Roman"/>
          <w:i/>
          <w:iCs/>
          <w:color w:val="FF0000"/>
          <w:spacing w:val="20"/>
          <w:sz w:val="22"/>
          <w:szCs w:val="22"/>
        </w:rPr>
        <w:t xml:space="preserve"> available, exchanged, or passed one way only, by the interconnection of the two systems.]</w:t>
      </w:r>
    </w:p>
    <w:p w:rsidR="0097057C" w:rsidRDefault="00A648BA" w:rsidP="00BA34F7">
      <w:pPr>
        <w:pStyle w:val="Heading2"/>
        <w:rPr>
          <w:rFonts w:ascii="Times New Roman" w:hAnsi="Times New Roman" w:cs="Times New Roman"/>
        </w:rPr>
      </w:pPr>
      <w:bookmarkStart w:id="10" w:name="_Toc113431282"/>
      <w:r w:rsidRPr="001445C1">
        <w:rPr>
          <w:rFonts w:ascii="Times New Roman" w:hAnsi="Times New Roman" w:cs="Times New Roman"/>
        </w:rPr>
        <w:t>Services Offered.</w:t>
      </w:r>
      <w:bookmarkEnd w:id="10"/>
      <w:r w:rsidRPr="001445C1">
        <w:rPr>
          <w:rFonts w:ascii="Times New Roman" w:hAnsi="Times New Roman" w:cs="Times New Roman"/>
        </w:rPr>
        <w:t xml:space="preserve"> </w:t>
      </w:r>
    </w:p>
    <w:p w:rsidR="001357DD" w:rsidRPr="00C02A8A" w:rsidRDefault="001357DD" w:rsidP="00BA34F7">
      <w:pPr>
        <w:spacing w:before="240" w:after="240"/>
        <w:jc w:val="both"/>
        <w:rPr>
          <w:rFonts w:eastAsia="Times New Roman"/>
          <w:color w:val="FF0000"/>
          <w:spacing w:val="20"/>
          <w:sz w:val="22"/>
          <w:szCs w:val="22"/>
        </w:rPr>
      </w:pPr>
      <w:r w:rsidRPr="00C02A8A">
        <w:rPr>
          <w:rFonts w:eastAsia="Times New Roman"/>
          <w:i/>
          <w:iCs/>
          <w:color w:val="FF0000"/>
          <w:spacing w:val="20"/>
          <w:sz w:val="22"/>
          <w:szCs w:val="22"/>
        </w:rPr>
        <w:t>[Describe the nature of the information services (e.g. E-mail, FTP, database query, file query, general computational services, etc.) offered over the interconnected system by each participating organization.]</w:t>
      </w:r>
    </w:p>
    <w:p w:rsidR="0097057C" w:rsidRPr="001445C1" w:rsidRDefault="00A648BA" w:rsidP="00BA34F7">
      <w:pPr>
        <w:pStyle w:val="Heading2"/>
        <w:rPr>
          <w:rFonts w:ascii="Times New Roman" w:hAnsi="Times New Roman" w:cs="Times New Roman"/>
        </w:rPr>
      </w:pPr>
      <w:bookmarkStart w:id="11" w:name="_Toc113431283"/>
      <w:r w:rsidRPr="001445C1">
        <w:rPr>
          <w:rFonts w:ascii="Times New Roman" w:hAnsi="Times New Roman" w:cs="Times New Roman"/>
        </w:rPr>
        <w:t>Data Sensitivity.</w:t>
      </w:r>
      <w:bookmarkEnd w:id="11"/>
      <w:r w:rsidRPr="001445C1">
        <w:rPr>
          <w:rFonts w:ascii="Times New Roman" w:hAnsi="Times New Roman" w:cs="Times New Roman"/>
        </w:rPr>
        <w:t xml:space="preserve"> </w:t>
      </w:r>
    </w:p>
    <w:p w:rsidR="00EA0E79" w:rsidRPr="001445C1" w:rsidRDefault="00E328C8" w:rsidP="00BA34F7">
      <w:pPr>
        <w:pStyle w:val="CLIN-TO"/>
        <w:jc w:val="both"/>
        <w:rPr>
          <w:rFonts w:ascii="Times New Roman" w:hAnsi="Times New Roman" w:cs="Times New Roman"/>
        </w:rPr>
      </w:pPr>
      <w:r>
        <w:rPr>
          <w:rFonts w:ascii="Times New Roman" w:hAnsi="Times New Roman" w:cs="Times New Roman"/>
        </w:rPr>
        <w:t>Parties</w:t>
      </w:r>
      <w:r w:rsidR="008644C0" w:rsidRPr="001445C1">
        <w:rPr>
          <w:rFonts w:ascii="Times New Roman" w:hAnsi="Times New Roman" w:cs="Times New Roman"/>
        </w:rPr>
        <w:t xml:space="preserve"> </w:t>
      </w:r>
      <w:r>
        <w:rPr>
          <w:rFonts w:ascii="Times New Roman" w:hAnsi="Times New Roman" w:cs="Times New Roman"/>
        </w:rPr>
        <w:t>are</w:t>
      </w:r>
      <w:r w:rsidR="00EA0E79" w:rsidRPr="001445C1">
        <w:rPr>
          <w:rFonts w:ascii="Times New Roman" w:hAnsi="Times New Roman" w:cs="Times New Roman"/>
        </w:rPr>
        <w:t xml:space="preserve"> required to configure systems to mark metadata in environments where Data Loss Prevention (DLP) and Network Access Control (NAC) technology </w:t>
      </w:r>
      <w:proofErr w:type="gramStart"/>
      <w:r w:rsidR="00EA0E79" w:rsidRPr="001445C1">
        <w:rPr>
          <w:rFonts w:ascii="Times New Roman" w:hAnsi="Times New Roman" w:cs="Times New Roman"/>
        </w:rPr>
        <w:t>is being used</w:t>
      </w:r>
      <w:proofErr w:type="gramEnd"/>
      <w:r w:rsidR="00EA0E79" w:rsidRPr="001445C1">
        <w:rPr>
          <w:rFonts w:ascii="Times New Roman" w:hAnsi="Times New Roman" w:cs="Times New Roman"/>
        </w:rPr>
        <w:t xml:space="preserve">. </w:t>
      </w:r>
    </w:p>
    <w:p w:rsidR="00EA0E79" w:rsidRPr="001445C1" w:rsidRDefault="00E328C8" w:rsidP="00BA34F7">
      <w:pPr>
        <w:pStyle w:val="CLIN-TO"/>
        <w:jc w:val="both"/>
        <w:rPr>
          <w:rFonts w:ascii="Times New Roman" w:hAnsi="Times New Roman" w:cs="Times New Roman"/>
        </w:rPr>
      </w:pPr>
      <w:r>
        <w:rPr>
          <w:rFonts w:ascii="Times New Roman" w:hAnsi="Times New Roman" w:cs="Times New Roman"/>
        </w:rPr>
        <w:t>Parties</w:t>
      </w:r>
      <w:r w:rsidR="00EA0E79" w:rsidRPr="001445C1">
        <w:rPr>
          <w:rFonts w:ascii="Times New Roman" w:hAnsi="Times New Roman" w:cs="Times New Roman"/>
        </w:rPr>
        <w:t xml:space="preserve"> must: </w:t>
      </w:r>
    </w:p>
    <w:p w:rsidR="00EA0E79" w:rsidRPr="001445C1" w:rsidRDefault="00EA0E79" w:rsidP="00BA34F7">
      <w:pPr>
        <w:pStyle w:val="Heading3"/>
        <w:rPr>
          <w:rFonts w:ascii="Times New Roman" w:hAnsi="Times New Roman" w:cs="Times New Roman"/>
        </w:rPr>
      </w:pPr>
      <w:bookmarkStart w:id="12" w:name="_Toc113431284"/>
      <w:r w:rsidRPr="001445C1">
        <w:rPr>
          <w:rFonts w:ascii="Times New Roman" w:hAnsi="Times New Roman" w:cs="Times New Roman"/>
        </w:rPr>
        <w:t>In accordance with all applicable statutory, regulatory and contractual compliance obligations, implement and govern controls to protect NMT data wherever it is stored, transmitted and processed;</w:t>
      </w:r>
      <w:bookmarkEnd w:id="12"/>
    </w:p>
    <w:p w:rsidR="00EA0E79" w:rsidRPr="001445C1" w:rsidRDefault="00EA0E79" w:rsidP="00BA34F7">
      <w:pPr>
        <w:pStyle w:val="Heading3"/>
        <w:rPr>
          <w:rFonts w:ascii="Times New Roman" w:hAnsi="Times New Roman" w:cs="Times New Roman"/>
        </w:rPr>
      </w:pPr>
      <w:bookmarkStart w:id="13" w:name="_Toc113431285"/>
      <w:r w:rsidRPr="001445C1">
        <w:rPr>
          <w:rFonts w:ascii="Times New Roman" w:hAnsi="Times New Roman" w:cs="Times New Roman"/>
        </w:rPr>
        <w:t>Define retention periods for both sensitive and non-sensitive data;</w:t>
      </w:r>
      <w:bookmarkEnd w:id="13"/>
    </w:p>
    <w:p w:rsidR="00EA0E79" w:rsidRPr="001445C1" w:rsidRDefault="00EA0E79" w:rsidP="00BA34F7">
      <w:pPr>
        <w:pStyle w:val="Heading3"/>
        <w:rPr>
          <w:rFonts w:ascii="Times New Roman" w:hAnsi="Times New Roman" w:cs="Times New Roman"/>
        </w:rPr>
      </w:pPr>
      <w:bookmarkStart w:id="14" w:name="_Toc113431286"/>
      <w:r w:rsidRPr="001445C1">
        <w:rPr>
          <w:rFonts w:ascii="Times New Roman" w:hAnsi="Times New Roman" w:cs="Times New Roman"/>
        </w:rPr>
        <w:t>Dispose of, destroy, erase, and / or anonymizes data once it is no longer necessary for business purposes;</w:t>
      </w:r>
      <w:bookmarkEnd w:id="14"/>
    </w:p>
    <w:p w:rsidR="00EA0E79" w:rsidRPr="001445C1" w:rsidRDefault="00EA0E79" w:rsidP="00BA34F7">
      <w:pPr>
        <w:pStyle w:val="Heading3"/>
        <w:rPr>
          <w:rFonts w:ascii="Times New Roman" w:hAnsi="Times New Roman" w:cs="Times New Roman"/>
        </w:rPr>
      </w:pPr>
      <w:bookmarkStart w:id="15" w:name="_Toc113431287"/>
      <w:r w:rsidRPr="001445C1">
        <w:rPr>
          <w:rFonts w:ascii="Times New Roman" w:hAnsi="Times New Roman" w:cs="Times New Roman"/>
        </w:rPr>
        <w:t>Maintain strict control over the storage and accessibility of media;</w:t>
      </w:r>
      <w:bookmarkEnd w:id="15"/>
    </w:p>
    <w:p w:rsidR="00EA0E79" w:rsidRPr="001445C1" w:rsidRDefault="00EA0E79" w:rsidP="00BA34F7">
      <w:pPr>
        <w:pStyle w:val="Heading3"/>
        <w:rPr>
          <w:rFonts w:ascii="Times New Roman" w:hAnsi="Times New Roman" w:cs="Times New Roman"/>
        </w:rPr>
      </w:pPr>
      <w:bookmarkStart w:id="16" w:name="_Toc113431288"/>
      <w:r w:rsidRPr="001445C1">
        <w:rPr>
          <w:rFonts w:ascii="Times New Roman" w:hAnsi="Times New Roman" w:cs="Times New Roman"/>
        </w:rPr>
        <w:t>Maintain inventories of sensitive data under their control.</w:t>
      </w:r>
      <w:bookmarkEnd w:id="16"/>
    </w:p>
    <w:p w:rsidR="00A372DB" w:rsidRPr="001445C1" w:rsidRDefault="00A372DB" w:rsidP="00BA34F7">
      <w:pPr>
        <w:pStyle w:val="CLIN-TO"/>
        <w:jc w:val="both"/>
        <w:rPr>
          <w:rFonts w:ascii="Times New Roman" w:hAnsi="Times New Roman" w:cs="Times New Roman"/>
        </w:rPr>
      </w:pPr>
      <w:r w:rsidRPr="001445C1">
        <w:rPr>
          <w:rFonts w:ascii="Times New Roman" w:hAnsi="Times New Roman" w:cs="Times New Roman"/>
        </w:rPr>
        <w:t xml:space="preserve">State and Federal laws, rules and regulations as well as industry-specific guidelines require specific and often enhanced security controls on information and systems.  The State of </w:t>
      </w:r>
      <w:r w:rsidR="008644C0" w:rsidRPr="001445C1">
        <w:rPr>
          <w:rFonts w:ascii="Times New Roman" w:hAnsi="Times New Roman" w:cs="Times New Roman"/>
        </w:rPr>
        <w:t>New Mexico</w:t>
      </w:r>
      <w:r w:rsidRPr="001445C1">
        <w:rPr>
          <w:rFonts w:ascii="Times New Roman" w:hAnsi="Times New Roman" w:cs="Times New Roman"/>
        </w:rPr>
        <w:t xml:space="preserve"> is required to comply with the below laws, standards and regulations.  </w:t>
      </w:r>
      <w:r w:rsidR="00E5023A">
        <w:rPr>
          <w:rFonts w:ascii="Times New Roman" w:hAnsi="Times New Roman" w:cs="Times New Roman"/>
        </w:rPr>
        <w:t>Provider</w:t>
      </w:r>
      <w:r w:rsidRPr="001445C1">
        <w:rPr>
          <w:rFonts w:ascii="Times New Roman" w:hAnsi="Times New Roman" w:cs="Times New Roman"/>
        </w:rPr>
        <w:t xml:space="preserve">s must ensure </w:t>
      </w:r>
      <w:r w:rsidRPr="001445C1">
        <w:rPr>
          <w:rFonts w:ascii="Times New Roman" w:hAnsi="Times New Roman" w:cs="Times New Roman"/>
        </w:rPr>
        <w:lastRenderedPageBreak/>
        <w:t>compliance with the below as appropriate based upon the formal risk assessment to include a data classification and system categorization process.</w:t>
      </w:r>
    </w:p>
    <w:tbl>
      <w:tblPr>
        <w:tblW w:w="5000" w:type="pct"/>
        <w:tblBorders>
          <w:bottom w:val="single" w:sz="4" w:space="0" w:color="auto"/>
          <w:insideH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801"/>
        <w:gridCol w:w="3149"/>
        <w:gridCol w:w="4410"/>
      </w:tblGrid>
      <w:tr w:rsidR="00E62180" w:rsidRPr="001445C1" w:rsidTr="00A372DB">
        <w:trPr>
          <w:trHeight w:val="20"/>
        </w:trPr>
        <w:tc>
          <w:tcPr>
            <w:tcW w:w="962" w:type="pct"/>
            <w:tcMar>
              <w:top w:w="100" w:type="dxa"/>
              <w:left w:w="100" w:type="dxa"/>
              <w:bottom w:w="100" w:type="dxa"/>
              <w:right w:w="100" w:type="dxa"/>
            </w:tcMar>
            <w:vAlign w:val="bottom"/>
          </w:tcPr>
          <w:p w:rsidR="00E62180" w:rsidRPr="001445C1" w:rsidRDefault="00E62180" w:rsidP="00601648">
            <w:pPr>
              <w:pStyle w:val="Tables"/>
              <w:jc w:val="both"/>
              <w:rPr>
                <w:rFonts w:ascii="Times New Roman" w:hAnsi="Times New Roman" w:cs="Times New Roman"/>
              </w:rPr>
            </w:pPr>
            <w:r w:rsidRPr="001445C1">
              <w:rPr>
                <w:rFonts w:ascii="Times New Roman" w:hAnsi="Times New Roman" w:cs="Times New Roman"/>
              </w:rPr>
              <w:t>T-1</w:t>
            </w:r>
          </w:p>
        </w:tc>
        <w:tc>
          <w:tcPr>
            <w:tcW w:w="1682" w:type="pct"/>
            <w:tcMar>
              <w:top w:w="100" w:type="dxa"/>
              <w:left w:w="100" w:type="dxa"/>
              <w:bottom w:w="100" w:type="dxa"/>
              <w:right w:w="100" w:type="dxa"/>
            </w:tcMar>
            <w:vAlign w:val="bottom"/>
          </w:tcPr>
          <w:p w:rsidR="00E62180" w:rsidRPr="001445C1" w:rsidRDefault="00E62180" w:rsidP="00601648">
            <w:pPr>
              <w:spacing w:before="0" w:after="0"/>
              <w:jc w:val="both"/>
              <w:rPr>
                <w:rFonts w:ascii="Times New Roman" w:hAnsi="Times New Roman" w:cs="Times New Roman"/>
                <w:b/>
                <w:sz w:val="22"/>
              </w:rPr>
            </w:pPr>
            <w:r w:rsidRPr="001445C1">
              <w:rPr>
                <w:rFonts w:ascii="Times New Roman" w:hAnsi="Times New Roman" w:cs="Times New Roman"/>
                <w:b/>
                <w:sz w:val="22"/>
              </w:rPr>
              <w:t>External Authority</w:t>
            </w:r>
          </w:p>
        </w:tc>
        <w:tc>
          <w:tcPr>
            <w:tcW w:w="2356" w:type="pct"/>
            <w:tcMar>
              <w:top w:w="100" w:type="dxa"/>
              <w:left w:w="100" w:type="dxa"/>
              <w:bottom w:w="100" w:type="dxa"/>
              <w:right w:w="100" w:type="dxa"/>
            </w:tcMar>
            <w:vAlign w:val="bottom"/>
          </w:tcPr>
          <w:p w:rsidR="00E62180" w:rsidRPr="001445C1" w:rsidRDefault="00E62180" w:rsidP="00601648">
            <w:pPr>
              <w:spacing w:before="240" w:after="240"/>
              <w:contextualSpacing/>
              <w:jc w:val="both"/>
              <w:rPr>
                <w:rFonts w:ascii="Times New Roman" w:hAnsi="Times New Roman" w:cs="Times New Roman"/>
                <w:sz w:val="22"/>
              </w:rPr>
            </w:pPr>
            <w:r w:rsidRPr="001445C1">
              <w:rPr>
                <w:rFonts w:ascii="Times New Roman" w:hAnsi="Times New Roman" w:cs="Times New Roman"/>
                <w:b/>
                <w:sz w:val="22"/>
              </w:rPr>
              <w:t>Information Requirements</w:t>
            </w:r>
          </w:p>
        </w:tc>
      </w:tr>
      <w:tr w:rsidR="00A372DB" w:rsidRPr="001445C1" w:rsidTr="00A372DB">
        <w:trPr>
          <w:trHeight w:val="20"/>
        </w:trPr>
        <w:tc>
          <w:tcPr>
            <w:tcW w:w="962" w:type="pct"/>
            <w:tcMar>
              <w:top w:w="100" w:type="dxa"/>
              <w:left w:w="100" w:type="dxa"/>
              <w:bottom w:w="100" w:type="dxa"/>
              <w:right w:w="100" w:type="dxa"/>
            </w:tcMar>
            <w:vAlign w:val="bottom"/>
            <w:hideMark/>
          </w:tcPr>
          <w:p w:rsidR="00A372DB" w:rsidRPr="001445C1" w:rsidRDefault="00A372DB" w:rsidP="00601648">
            <w:pPr>
              <w:spacing w:before="240" w:after="240"/>
              <w:contextualSpacing/>
              <w:jc w:val="both"/>
              <w:rPr>
                <w:rFonts w:ascii="Times New Roman" w:hAnsi="Times New Roman" w:cs="Times New Roman"/>
              </w:rPr>
            </w:pPr>
            <w:r w:rsidRPr="001445C1">
              <w:rPr>
                <w:rFonts w:ascii="Times New Roman" w:hAnsi="Times New Roman" w:cs="Times New Roman"/>
              </w:rPr>
              <w:t>FERPA</w:t>
            </w:r>
          </w:p>
        </w:tc>
        <w:tc>
          <w:tcPr>
            <w:tcW w:w="1682" w:type="pct"/>
            <w:tcMar>
              <w:top w:w="100" w:type="dxa"/>
              <w:left w:w="100" w:type="dxa"/>
              <w:bottom w:w="100" w:type="dxa"/>
              <w:right w:w="100" w:type="dxa"/>
            </w:tcMar>
            <w:vAlign w:val="bottom"/>
            <w:hideMark/>
          </w:tcPr>
          <w:p w:rsidR="00A372DB" w:rsidRPr="001445C1" w:rsidRDefault="00A372DB" w:rsidP="00601648">
            <w:pPr>
              <w:spacing w:before="240" w:after="240"/>
              <w:contextualSpacing/>
              <w:jc w:val="both"/>
              <w:rPr>
                <w:rFonts w:ascii="Times New Roman" w:hAnsi="Times New Roman" w:cs="Times New Roman"/>
              </w:rPr>
            </w:pPr>
            <w:r w:rsidRPr="001445C1">
              <w:rPr>
                <w:rFonts w:ascii="Times New Roman" w:hAnsi="Times New Roman" w:cs="Times New Roman"/>
              </w:rPr>
              <w:t>Family Educational Rights and Privacy</w:t>
            </w:r>
          </w:p>
        </w:tc>
        <w:tc>
          <w:tcPr>
            <w:tcW w:w="2356" w:type="pct"/>
            <w:tcMar>
              <w:top w:w="100" w:type="dxa"/>
              <w:left w:w="100" w:type="dxa"/>
              <w:bottom w:w="100" w:type="dxa"/>
              <w:right w:w="100" w:type="dxa"/>
            </w:tcMar>
            <w:vAlign w:val="bottom"/>
            <w:hideMark/>
          </w:tcPr>
          <w:p w:rsidR="00A372DB" w:rsidRPr="001445C1" w:rsidRDefault="00A372DB" w:rsidP="00601648">
            <w:pPr>
              <w:spacing w:before="240" w:after="240"/>
              <w:contextualSpacing/>
              <w:jc w:val="both"/>
              <w:rPr>
                <w:rFonts w:ascii="Times New Roman" w:hAnsi="Times New Roman" w:cs="Times New Roman"/>
              </w:rPr>
            </w:pPr>
            <w:r w:rsidRPr="001445C1">
              <w:rPr>
                <w:rFonts w:ascii="Times New Roman" w:hAnsi="Times New Roman" w:cs="Times New Roman"/>
              </w:rPr>
              <w:t>https://studentprivacy.ed.gov/node/548/</w:t>
            </w:r>
          </w:p>
        </w:tc>
      </w:tr>
      <w:tr w:rsidR="00A372DB" w:rsidRPr="001445C1" w:rsidTr="00A372DB">
        <w:trPr>
          <w:trHeight w:val="20"/>
        </w:trPr>
        <w:tc>
          <w:tcPr>
            <w:tcW w:w="962" w:type="pct"/>
            <w:tcMar>
              <w:top w:w="100" w:type="dxa"/>
              <w:left w:w="100" w:type="dxa"/>
              <w:bottom w:w="100" w:type="dxa"/>
              <w:right w:w="100" w:type="dxa"/>
            </w:tcMar>
            <w:vAlign w:val="bottom"/>
            <w:hideMark/>
          </w:tcPr>
          <w:p w:rsidR="00A372DB" w:rsidRPr="001445C1" w:rsidRDefault="00A372DB" w:rsidP="00601648">
            <w:pPr>
              <w:spacing w:before="240" w:after="240"/>
              <w:contextualSpacing/>
              <w:jc w:val="both"/>
              <w:rPr>
                <w:rFonts w:ascii="Times New Roman" w:hAnsi="Times New Roman" w:cs="Times New Roman"/>
              </w:rPr>
            </w:pPr>
            <w:r w:rsidRPr="001445C1">
              <w:rPr>
                <w:rFonts w:ascii="Times New Roman" w:hAnsi="Times New Roman" w:cs="Times New Roman"/>
              </w:rPr>
              <w:t>GLBA</w:t>
            </w:r>
          </w:p>
        </w:tc>
        <w:tc>
          <w:tcPr>
            <w:tcW w:w="1682" w:type="pct"/>
            <w:tcMar>
              <w:top w:w="100" w:type="dxa"/>
              <w:left w:w="100" w:type="dxa"/>
              <w:bottom w:w="100" w:type="dxa"/>
              <w:right w:w="100" w:type="dxa"/>
            </w:tcMar>
            <w:vAlign w:val="bottom"/>
            <w:hideMark/>
          </w:tcPr>
          <w:p w:rsidR="00A372DB" w:rsidRPr="001445C1" w:rsidRDefault="00A372DB" w:rsidP="00601648">
            <w:pPr>
              <w:spacing w:before="240" w:after="240"/>
              <w:contextualSpacing/>
              <w:jc w:val="both"/>
              <w:rPr>
                <w:rFonts w:ascii="Times New Roman" w:hAnsi="Times New Roman" w:cs="Times New Roman"/>
              </w:rPr>
            </w:pPr>
            <w:r w:rsidRPr="001445C1">
              <w:rPr>
                <w:rFonts w:ascii="Times New Roman" w:hAnsi="Times New Roman" w:cs="Times New Roman"/>
              </w:rPr>
              <w:t>Gramm-Leach-Bliley Act</w:t>
            </w:r>
          </w:p>
        </w:tc>
        <w:tc>
          <w:tcPr>
            <w:tcW w:w="2356" w:type="pct"/>
            <w:tcMar>
              <w:top w:w="100" w:type="dxa"/>
              <w:left w:w="100" w:type="dxa"/>
              <w:bottom w:w="100" w:type="dxa"/>
              <w:right w:w="100" w:type="dxa"/>
            </w:tcMar>
            <w:vAlign w:val="bottom"/>
            <w:hideMark/>
          </w:tcPr>
          <w:p w:rsidR="00A372DB" w:rsidRPr="001445C1" w:rsidRDefault="00A372DB" w:rsidP="00601648">
            <w:pPr>
              <w:spacing w:before="240" w:after="240"/>
              <w:contextualSpacing/>
              <w:jc w:val="both"/>
              <w:rPr>
                <w:rFonts w:ascii="Times New Roman" w:hAnsi="Times New Roman" w:cs="Times New Roman"/>
              </w:rPr>
            </w:pPr>
            <w:r w:rsidRPr="001445C1">
              <w:rPr>
                <w:rFonts w:ascii="Times New Roman" w:hAnsi="Times New Roman" w:cs="Times New Roman"/>
              </w:rPr>
              <w:t>https://www.ftc.gov/business-guidance/privacy-security/gramm-leach-bliley-act</w:t>
            </w:r>
          </w:p>
        </w:tc>
      </w:tr>
      <w:tr w:rsidR="00A372DB" w:rsidRPr="001445C1" w:rsidTr="00A372DB">
        <w:trPr>
          <w:trHeight w:val="20"/>
        </w:trPr>
        <w:tc>
          <w:tcPr>
            <w:tcW w:w="962" w:type="pct"/>
            <w:tcMar>
              <w:top w:w="100" w:type="dxa"/>
              <w:left w:w="100" w:type="dxa"/>
              <w:bottom w:w="100" w:type="dxa"/>
              <w:right w:w="100" w:type="dxa"/>
            </w:tcMar>
            <w:vAlign w:val="bottom"/>
            <w:hideMark/>
          </w:tcPr>
          <w:p w:rsidR="00A372DB" w:rsidRPr="001445C1" w:rsidRDefault="00A372DB" w:rsidP="00601648">
            <w:pPr>
              <w:spacing w:before="240" w:after="240"/>
              <w:contextualSpacing/>
              <w:jc w:val="both"/>
              <w:rPr>
                <w:rFonts w:ascii="Times New Roman" w:hAnsi="Times New Roman" w:cs="Times New Roman"/>
              </w:rPr>
            </w:pPr>
            <w:r w:rsidRPr="001445C1">
              <w:rPr>
                <w:rFonts w:ascii="Times New Roman" w:hAnsi="Times New Roman" w:cs="Times New Roman"/>
              </w:rPr>
              <w:t>HIPAA</w:t>
            </w:r>
          </w:p>
        </w:tc>
        <w:tc>
          <w:tcPr>
            <w:tcW w:w="1682" w:type="pct"/>
            <w:tcMar>
              <w:top w:w="100" w:type="dxa"/>
              <w:left w:w="100" w:type="dxa"/>
              <w:bottom w:w="100" w:type="dxa"/>
              <w:right w:w="100" w:type="dxa"/>
            </w:tcMar>
            <w:vAlign w:val="bottom"/>
            <w:hideMark/>
          </w:tcPr>
          <w:p w:rsidR="00A372DB" w:rsidRPr="001445C1" w:rsidRDefault="00A372DB" w:rsidP="00601648">
            <w:pPr>
              <w:spacing w:before="240" w:after="240"/>
              <w:contextualSpacing/>
              <w:jc w:val="both"/>
              <w:rPr>
                <w:rFonts w:ascii="Times New Roman" w:hAnsi="Times New Roman" w:cs="Times New Roman"/>
              </w:rPr>
            </w:pPr>
            <w:r w:rsidRPr="001445C1">
              <w:rPr>
                <w:rFonts w:ascii="Times New Roman" w:hAnsi="Times New Roman" w:cs="Times New Roman"/>
              </w:rPr>
              <w:t>Health Insurance Portability and Accountability Act of 1996 / Public Law 104-191</w:t>
            </w:r>
          </w:p>
        </w:tc>
        <w:tc>
          <w:tcPr>
            <w:tcW w:w="2356" w:type="pct"/>
            <w:tcMar>
              <w:top w:w="100" w:type="dxa"/>
              <w:left w:w="100" w:type="dxa"/>
              <w:bottom w:w="100" w:type="dxa"/>
              <w:right w:w="100" w:type="dxa"/>
            </w:tcMar>
            <w:vAlign w:val="bottom"/>
            <w:hideMark/>
          </w:tcPr>
          <w:p w:rsidR="00A372DB" w:rsidRPr="001445C1" w:rsidRDefault="00A372DB" w:rsidP="00601648">
            <w:pPr>
              <w:spacing w:before="240" w:after="240"/>
              <w:contextualSpacing/>
              <w:jc w:val="both"/>
              <w:rPr>
                <w:rFonts w:ascii="Times New Roman" w:hAnsi="Times New Roman" w:cs="Times New Roman"/>
              </w:rPr>
            </w:pPr>
            <w:r w:rsidRPr="001445C1">
              <w:rPr>
                <w:rFonts w:ascii="Times New Roman" w:hAnsi="Times New Roman" w:cs="Times New Roman"/>
              </w:rPr>
              <w:t>https://aspe.hhs.gov/reports/health-insurance-portability-accountability-act-1996</w:t>
            </w:r>
          </w:p>
        </w:tc>
      </w:tr>
      <w:tr w:rsidR="00A372DB" w:rsidRPr="001445C1" w:rsidTr="00A372DB">
        <w:trPr>
          <w:trHeight w:val="20"/>
        </w:trPr>
        <w:tc>
          <w:tcPr>
            <w:tcW w:w="962" w:type="pct"/>
            <w:tcMar>
              <w:top w:w="100" w:type="dxa"/>
              <w:left w:w="100" w:type="dxa"/>
              <w:bottom w:w="100" w:type="dxa"/>
              <w:right w:w="100" w:type="dxa"/>
            </w:tcMar>
            <w:vAlign w:val="bottom"/>
            <w:hideMark/>
          </w:tcPr>
          <w:p w:rsidR="00A372DB" w:rsidRPr="001445C1" w:rsidRDefault="00A372DB" w:rsidP="00601648">
            <w:pPr>
              <w:spacing w:before="240" w:after="240"/>
              <w:contextualSpacing/>
              <w:jc w:val="both"/>
              <w:rPr>
                <w:rFonts w:ascii="Times New Roman" w:hAnsi="Times New Roman" w:cs="Times New Roman"/>
              </w:rPr>
            </w:pPr>
            <w:r w:rsidRPr="001445C1">
              <w:rPr>
                <w:rFonts w:ascii="Times New Roman" w:hAnsi="Times New Roman" w:cs="Times New Roman"/>
              </w:rPr>
              <w:t>HITECH</w:t>
            </w:r>
          </w:p>
        </w:tc>
        <w:tc>
          <w:tcPr>
            <w:tcW w:w="1682" w:type="pct"/>
            <w:tcMar>
              <w:top w:w="100" w:type="dxa"/>
              <w:left w:w="100" w:type="dxa"/>
              <w:bottom w:w="100" w:type="dxa"/>
              <w:right w:w="100" w:type="dxa"/>
            </w:tcMar>
            <w:vAlign w:val="bottom"/>
            <w:hideMark/>
          </w:tcPr>
          <w:p w:rsidR="00A372DB" w:rsidRPr="001445C1" w:rsidRDefault="00A372DB" w:rsidP="00601648">
            <w:pPr>
              <w:spacing w:before="240" w:after="240"/>
              <w:contextualSpacing/>
              <w:jc w:val="both"/>
              <w:rPr>
                <w:rFonts w:ascii="Times New Roman" w:hAnsi="Times New Roman" w:cs="Times New Roman"/>
              </w:rPr>
            </w:pPr>
            <w:r w:rsidRPr="001445C1">
              <w:rPr>
                <w:rFonts w:ascii="Times New Roman" w:hAnsi="Times New Roman" w:cs="Times New Roman"/>
              </w:rPr>
              <w:t>Health Information Technology for Economic and Clinical Health / Section 13410(d)</w:t>
            </w:r>
          </w:p>
        </w:tc>
        <w:tc>
          <w:tcPr>
            <w:tcW w:w="2356" w:type="pct"/>
            <w:tcMar>
              <w:top w:w="100" w:type="dxa"/>
              <w:left w:w="100" w:type="dxa"/>
              <w:bottom w:w="100" w:type="dxa"/>
              <w:right w:w="100" w:type="dxa"/>
            </w:tcMar>
            <w:vAlign w:val="bottom"/>
            <w:hideMark/>
          </w:tcPr>
          <w:p w:rsidR="00A372DB" w:rsidRPr="001445C1" w:rsidRDefault="00A372DB" w:rsidP="00601648">
            <w:pPr>
              <w:spacing w:before="240" w:after="240"/>
              <w:contextualSpacing/>
              <w:jc w:val="both"/>
              <w:rPr>
                <w:rFonts w:ascii="Times New Roman" w:hAnsi="Times New Roman" w:cs="Times New Roman"/>
              </w:rPr>
            </w:pPr>
            <w:r w:rsidRPr="001445C1">
              <w:rPr>
                <w:rFonts w:ascii="Times New Roman" w:hAnsi="Times New Roman" w:cs="Times New Roman"/>
              </w:rPr>
              <w:t>https://www.hhs.gov/hipaa/for-professionals/special-topics/hitech-act-enforcement-interim-final-rule/index.html</w:t>
            </w:r>
          </w:p>
        </w:tc>
      </w:tr>
      <w:tr w:rsidR="00A372DB" w:rsidRPr="001445C1" w:rsidTr="00A372DB">
        <w:trPr>
          <w:trHeight w:val="20"/>
        </w:trPr>
        <w:tc>
          <w:tcPr>
            <w:tcW w:w="962" w:type="pct"/>
            <w:tcMar>
              <w:top w:w="100" w:type="dxa"/>
              <w:left w:w="100" w:type="dxa"/>
              <w:bottom w:w="100" w:type="dxa"/>
              <w:right w:w="100" w:type="dxa"/>
            </w:tcMar>
            <w:vAlign w:val="bottom"/>
            <w:hideMark/>
          </w:tcPr>
          <w:p w:rsidR="00A372DB" w:rsidRPr="001445C1" w:rsidRDefault="00A372DB" w:rsidP="00601648">
            <w:pPr>
              <w:spacing w:before="240" w:after="240"/>
              <w:contextualSpacing/>
              <w:jc w:val="both"/>
              <w:rPr>
                <w:rFonts w:ascii="Times New Roman" w:hAnsi="Times New Roman" w:cs="Times New Roman"/>
              </w:rPr>
            </w:pPr>
            <w:r w:rsidRPr="001445C1">
              <w:rPr>
                <w:rFonts w:ascii="Times New Roman" w:hAnsi="Times New Roman" w:cs="Times New Roman"/>
              </w:rPr>
              <w:t>PCI</w:t>
            </w:r>
          </w:p>
        </w:tc>
        <w:tc>
          <w:tcPr>
            <w:tcW w:w="1682" w:type="pct"/>
            <w:tcMar>
              <w:top w:w="100" w:type="dxa"/>
              <w:left w:w="100" w:type="dxa"/>
              <w:bottom w:w="100" w:type="dxa"/>
              <w:right w:w="100" w:type="dxa"/>
            </w:tcMar>
            <w:vAlign w:val="bottom"/>
            <w:hideMark/>
          </w:tcPr>
          <w:p w:rsidR="00A372DB" w:rsidRPr="001445C1" w:rsidRDefault="00A372DB" w:rsidP="00601648">
            <w:pPr>
              <w:spacing w:before="240" w:after="240"/>
              <w:contextualSpacing/>
              <w:jc w:val="both"/>
              <w:rPr>
                <w:rFonts w:ascii="Times New Roman" w:hAnsi="Times New Roman" w:cs="Times New Roman"/>
              </w:rPr>
            </w:pPr>
            <w:r w:rsidRPr="001445C1">
              <w:rPr>
                <w:rFonts w:ascii="Times New Roman" w:hAnsi="Times New Roman" w:cs="Times New Roman"/>
              </w:rPr>
              <w:t>PCI Data Security Standard</w:t>
            </w:r>
          </w:p>
        </w:tc>
        <w:tc>
          <w:tcPr>
            <w:tcW w:w="2356" w:type="pct"/>
            <w:tcMar>
              <w:top w:w="100" w:type="dxa"/>
              <w:left w:w="100" w:type="dxa"/>
              <w:bottom w:w="100" w:type="dxa"/>
              <w:right w:w="100" w:type="dxa"/>
            </w:tcMar>
            <w:vAlign w:val="bottom"/>
            <w:hideMark/>
          </w:tcPr>
          <w:p w:rsidR="00A372DB" w:rsidRPr="001445C1" w:rsidRDefault="00A372DB" w:rsidP="00601648">
            <w:pPr>
              <w:spacing w:before="240" w:after="240"/>
              <w:contextualSpacing/>
              <w:jc w:val="both"/>
              <w:rPr>
                <w:rFonts w:ascii="Times New Roman" w:hAnsi="Times New Roman" w:cs="Times New Roman"/>
              </w:rPr>
            </w:pPr>
            <w:r w:rsidRPr="001445C1">
              <w:rPr>
                <w:rFonts w:ascii="Times New Roman" w:hAnsi="Times New Roman" w:cs="Times New Roman"/>
              </w:rPr>
              <w:t>https://www.pcisecuritystandards.org/document_library/?category=pcidss&amp;document=pci_dss</w:t>
            </w:r>
          </w:p>
        </w:tc>
      </w:tr>
      <w:tr w:rsidR="008644C0" w:rsidRPr="001445C1" w:rsidTr="00A372DB">
        <w:trPr>
          <w:trHeight w:val="20"/>
        </w:trPr>
        <w:tc>
          <w:tcPr>
            <w:tcW w:w="962" w:type="pct"/>
            <w:tcMar>
              <w:top w:w="100" w:type="dxa"/>
              <w:left w:w="100" w:type="dxa"/>
              <w:bottom w:w="100" w:type="dxa"/>
              <w:right w:w="100" w:type="dxa"/>
            </w:tcMar>
            <w:vAlign w:val="bottom"/>
          </w:tcPr>
          <w:p w:rsidR="008644C0" w:rsidRPr="001445C1" w:rsidRDefault="008644C0" w:rsidP="008644C0">
            <w:pPr>
              <w:spacing w:before="240" w:after="240"/>
              <w:contextualSpacing/>
              <w:rPr>
                <w:rFonts w:ascii="Times New Roman" w:hAnsi="Times New Roman" w:cs="Times New Roman"/>
              </w:rPr>
            </w:pPr>
            <w:r w:rsidRPr="001445C1">
              <w:rPr>
                <w:rFonts w:ascii="Times New Roman" w:hAnsi="Times New Roman" w:cs="Times New Roman"/>
              </w:rPr>
              <w:t>New Mexico's Privacy Protection Act</w:t>
            </w:r>
          </w:p>
        </w:tc>
        <w:tc>
          <w:tcPr>
            <w:tcW w:w="1682" w:type="pct"/>
            <w:tcMar>
              <w:top w:w="100" w:type="dxa"/>
              <w:left w:w="100" w:type="dxa"/>
              <w:bottom w:w="100" w:type="dxa"/>
              <w:right w:w="100" w:type="dxa"/>
            </w:tcMar>
            <w:vAlign w:val="bottom"/>
          </w:tcPr>
          <w:p w:rsidR="008644C0" w:rsidRPr="001445C1" w:rsidRDefault="008644C0" w:rsidP="008644C0">
            <w:pPr>
              <w:spacing w:before="240" w:after="240"/>
              <w:contextualSpacing/>
              <w:jc w:val="both"/>
              <w:rPr>
                <w:rFonts w:ascii="Times New Roman" w:hAnsi="Times New Roman" w:cs="Times New Roman"/>
              </w:rPr>
            </w:pPr>
            <w:r w:rsidRPr="001445C1">
              <w:rPr>
                <w:rFonts w:ascii="Times New Roman" w:hAnsi="Times New Roman" w:cs="Times New Roman"/>
              </w:rPr>
              <w:t>§§ 57-12B-1 et seq. of Article 12B of Chapter 57</w:t>
            </w:r>
          </w:p>
        </w:tc>
        <w:tc>
          <w:tcPr>
            <w:tcW w:w="2356" w:type="pct"/>
            <w:tcMar>
              <w:top w:w="100" w:type="dxa"/>
              <w:left w:w="100" w:type="dxa"/>
              <w:bottom w:w="100" w:type="dxa"/>
              <w:right w:w="100" w:type="dxa"/>
            </w:tcMar>
            <w:vAlign w:val="bottom"/>
          </w:tcPr>
          <w:p w:rsidR="008644C0" w:rsidRPr="001445C1" w:rsidRDefault="008644C0" w:rsidP="008644C0">
            <w:pPr>
              <w:spacing w:before="240" w:after="240"/>
              <w:contextualSpacing/>
              <w:jc w:val="both"/>
              <w:rPr>
                <w:rFonts w:ascii="Times New Roman" w:hAnsi="Times New Roman" w:cs="Times New Roman"/>
              </w:rPr>
            </w:pPr>
            <w:r w:rsidRPr="001445C1">
              <w:rPr>
                <w:rFonts w:ascii="Times New Roman" w:hAnsi="Times New Roman" w:cs="Times New Roman"/>
              </w:rPr>
              <w:t>https://nmonesource.com/nmos/nmsa/en/item/4423/index.do#!fragment/zoupio-_Toc110332560/BQCwhgziBcwMYgK4DsDWszIQewE4BUBTADwBdoAvbRABwEtsBaAfX2zgEYOAGAZl4BMAVgBs3AJQAaZNlKEIARUSFcAT2gByDZIiEwuBEpXqtOvQZABlPKQBC6gEoBRADJOAagEEAcgGEnkqRgAEbQpOzi4kA</w:t>
            </w:r>
          </w:p>
        </w:tc>
      </w:tr>
      <w:tr w:rsidR="008644C0" w:rsidRPr="001445C1" w:rsidTr="00A372DB">
        <w:trPr>
          <w:trHeight w:val="20"/>
        </w:trPr>
        <w:tc>
          <w:tcPr>
            <w:tcW w:w="962" w:type="pct"/>
            <w:tcMar>
              <w:top w:w="100" w:type="dxa"/>
              <w:left w:w="100" w:type="dxa"/>
              <w:bottom w:w="100" w:type="dxa"/>
              <w:right w:w="100" w:type="dxa"/>
            </w:tcMar>
            <w:vAlign w:val="bottom"/>
          </w:tcPr>
          <w:p w:rsidR="008644C0" w:rsidRPr="001445C1" w:rsidRDefault="00C2288D" w:rsidP="008644C0">
            <w:pPr>
              <w:spacing w:before="240" w:after="240"/>
              <w:contextualSpacing/>
              <w:jc w:val="both"/>
              <w:rPr>
                <w:rFonts w:ascii="Times New Roman" w:hAnsi="Times New Roman" w:cs="Times New Roman"/>
              </w:rPr>
            </w:pPr>
            <w:r w:rsidRPr="001445C1">
              <w:rPr>
                <w:rFonts w:ascii="Times New Roman" w:hAnsi="Times New Roman" w:cs="Times New Roman"/>
              </w:rPr>
              <w:t>§ 14-6-1 of Article 6 of Chapter 14 of the N.M. Statutes</w:t>
            </w:r>
          </w:p>
        </w:tc>
        <w:tc>
          <w:tcPr>
            <w:tcW w:w="1682" w:type="pct"/>
            <w:tcMar>
              <w:top w:w="100" w:type="dxa"/>
              <w:left w:w="100" w:type="dxa"/>
              <w:bottom w:w="100" w:type="dxa"/>
              <w:right w:w="100" w:type="dxa"/>
            </w:tcMar>
            <w:vAlign w:val="bottom"/>
          </w:tcPr>
          <w:p w:rsidR="008644C0" w:rsidRPr="001445C1" w:rsidRDefault="00C2288D" w:rsidP="008644C0">
            <w:pPr>
              <w:spacing w:before="240" w:after="240"/>
              <w:contextualSpacing/>
              <w:jc w:val="both"/>
              <w:rPr>
                <w:rFonts w:ascii="Times New Roman" w:hAnsi="Times New Roman" w:cs="Times New Roman"/>
              </w:rPr>
            </w:pPr>
            <w:r w:rsidRPr="001445C1">
              <w:rPr>
                <w:rFonts w:ascii="Times New Roman" w:hAnsi="Times New Roman" w:cs="Times New Roman"/>
              </w:rPr>
              <w:t>Health Data</w:t>
            </w:r>
          </w:p>
        </w:tc>
        <w:tc>
          <w:tcPr>
            <w:tcW w:w="2356" w:type="pct"/>
            <w:tcMar>
              <w:top w:w="100" w:type="dxa"/>
              <w:left w:w="100" w:type="dxa"/>
              <w:bottom w:w="100" w:type="dxa"/>
              <w:right w:w="100" w:type="dxa"/>
            </w:tcMar>
            <w:vAlign w:val="bottom"/>
          </w:tcPr>
          <w:p w:rsidR="008644C0" w:rsidRPr="001445C1" w:rsidRDefault="00C2288D" w:rsidP="008644C0">
            <w:pPr>
              <w:spacing w:before="240" w:after="240"/>
              <w:contextualSpacing/>
              <w:jc w:val="both"/>
              <w:rPr>
                <w:rFonts w:ascii="Times New Roman" w:hAnsi="Times New Roman" w:cs="Times New Roman"/>
              </w:rPr>
            </w:pPr>
            <w:r w:rsidRPr="001445C1">
              <w:rPr>
                <w:rFonts w:ascii="Times New Roman" w:hAnsi="Times New Roman" w:cs="Times New Roman"/>
              </w:rPr>
              <w:t>https://nmonesource.com/nmos/nmsa/en/item/4383/index.do#!b/14-6-1</w:t>
            </w:r>
          </w:p>
        </w:tc>
      </w:tr>
      <w:tr w:rsidR="00C2288D" w:rsidRPr="001445C1" w:rsidTr="00A372DB">
        <w:trPr>
          <w:trHeight w:val="20"/>
        </w:trPr>
        <w:tc>
          <w:tcPr>
            <w:tcW w:w="962" w:type="pct"/>
            <w:tcMar>
              <w:top w:w="100" w:type="dxa"/>
              <w:left w:w="100" w:type="dxa"/>
              <w:bottom w:w="100" w:type="dxa"/>
              <w:right w:w="100" w:type="dxa"/>
            </w:tcMar>
            <w:vAlign w:val="bottom"/>
          </w:tcPr>
          <w:p w:rsidR="00C2288D" w:rsidRPr="001445C1" w:rsidRDefault="00C2288D" w:rsidP="008644C0">
            <w:pPr>
              <w:spacing w:before="240" w:after="240"/>
              <w:contextualSpacing/>
              <w:jc w:val="both"/>
              <w:rPr>
                <w:rFonts w:ascii="Times New Roman" w:hAnsi="Times New Roman" w:cs="Times New Roman"/>
              </w:rPr>
            </w:pPr>
            <w:r w:rsidRPr="001445C1">
              <w:rPr>
                <w:rFonts w:ascii="Times New Roman" w:hAnsi="Times New Roman" w:cs="Times New Roman"/>
              </w:rPr>
              <w:t>Article 12 of Chapter 30 of the N.M. Statutes</w:t>
            </w:r>
          </w:p>
        </w:tc>
        <w:tc>
          <w:tcPr>
            <w:tcW w:w="1682" w:type="pct"/>
            <w:tcMar>
              <w:top w:w="100" w:type="dxa"/>
              <w:left w:w="100" w:type="dxa"/>
              <w:bottom w:w="100" w:type="dxa"/>
              <w:right w:w="100" w:type="dxa"/>
            </w:tcMar>
            <w:vAlign w:val="bottom"/>
          </w:tcPr>
          <w:p w:rsidR="00C2288D" w:rsidRPr="001445C1" w:rsidRDefault="00C2288D" w:rsidP="008644C0">
            <w:pPr>
              <w:spacing w:before="240" w:after="240"/>
              <w:contextualSpacing/>
              <w:jc w:val="both"/>
              <w:rPr>
                <w:rFonts w:ascii="Times New Roman" w:hAnsi="Times New Roman" w:cs="Times New Roman"/>
              </w:rPr>
            </w:pPr>
            <w:r w:rsidRPr="001445C1">
              <w:rPr>
                <w:rFonts w:ascii="Times New Roman" w:hAnsi="Times New Roman" w:cs="Times New Roman"/>
              </w:rPr>
              <w:t>Abuse of Privacy</w:t>
            </w:r>
          </w:p>
        </w:tc>
        <w:tc>
          <w:tcPr>
            <w:tcW w:w="2356" w:type="pct"/>
            <w:tcMar>
              <w:top w:w="100" w:type="dxa"/>
              <w:left w:w="100" w:type="dxa"/>
              <w:bottom w:w="100" w:type="dxa"/>
              <w:right w:w="100" w:type="dxa"/>
            </w:tcMar>
            <w:vAlign w:val="bottom"/>
          </w:tcPr>
          <w:p w:rsidR="00C2288D" w:rsidRPr="001445C1" w:rsidRDefault="00C2288D" w:rsidP="008644C0">
            <w:pPr>
              <w:spacing w:before="240" w:after="240"/>
              <w:contextualSpacing/>
              <w:jc w:val="both"/>
              <w:rPr>
                <w:rFonts w:ascii="Times New Roman" w:hAnsi="Times New Roman" w:cs="Times New Roman"/>
              </w:rPr>
            </w:pPr>
            <w:r w:rsidRPr="001445C1">
              <w:rPr>
                <w:rFonts w:ascii="Times New Roman" w:hAnsi="Times New Roman" w:cs="Times New Roman"/>
              </w:rPr>
              <w:t>https://nmonesource.com/nmos/nmsa/en/item/4371/index.do#!fragment/zoupio-_Toc113359153/BQCwhgziBcwMYgK4DsDWszIQewE4BUBTADwBdoAvbRABwEtsBaAfX2zgEYOBmbgVgCcHPtwCUAGmTZShCAEVEhXAE9oAcjXiIhMLgQKlqjVp16QAZTykAQqoBKAUQAyDgGoBBAHIBhB+NJgAEbQpOyiokA</w:t>
            </w:r>
          </w:p>
        </w:tc>
      </w:tr>
    </w:tbl>
    <w:p w:rsidR="0097057C" w:rsidRPr="001445C1" w:rsidRDefault="00A648BA" w:rsidP="00BA34F7">
      <w:pPr>
        <w:pStyle w:val="Heading2"/>
        <w:rPr>
          <w:rFonts w:ascii="Times New Roman" w:hAnsi="Times New Roman" w:cs="Times New Roman"/>
        </w:rPr>
      </w:pPr>
      <w:bookmarkStart w:id="17" w:name="_Toc113431291"/>
      <w:r w:rsidRPr="001445C1">
        <w:rPr>
          <w:rFonts w:ascii="Times New Roman" w:hAnsi="Times New Roman" w:cs="Times New Roman"/>
        </w:rPr>
        <w:t>Trusted Behavior Expectations.</w:t>
      </w:r>
      <w:bookmarkEnd w:id="17"/>
      <w:r w:rsidRPr="001445C1">
        <w:rPr>
          <w:rFonts w:ascii="Times New Roman" w:hAnsi="Times New Roman" w:cs="Times New Roman"/>
        </w:rPr>
        <w:t xml:space="preserve"> </w:t>
      </w:r>
    </w:p>
    <w:p w:rsidR="003B5A5B" w:rsidRPr="001445C1" w:rsidRDefault="003B5A5B" w:rsidP="00BA34F7">
      <w:pPr>
        <w:pStyle w:val="CLIN-TO"/>
        <w:numPr>
          <w:ilvl w:val="0"/>
          <w:numId w:val="17"/>
        </w:numPr>
        <w:ind w:left="1080" w:hanging="720"/>
        <w:jc w:val="both"/>
        <w:rPr>
          <w:rFonts w:ascii="Times New Roman" w:hAnsi="Times New Roman" w:cs="Times New Roman"/>
        </w:rPr>
      </w:pPr>
      <w:r w:rsidRPr="001445C1">
        <w:rPr>
          <w:rFonts w:ascii="Times New Roman" w:hAnsi="Times New Roman" w:cs="Times New Roman"/>
        </w:rPr>
        <w:t>E</w:t>
      </w:r>
      <w:r w:rsidR="00A648BA" w:rsidRPr="001445C1">
        <w:rPr>
          <w:rFonts w:ascii="Times New Roman" w:hAnsi="Times New Roman" w:cs="Times New Roman"/>
        </w:rPr>
        <w:t xml:space="preserve">ach system </w:t>
      </w:r>
      <w:proofErr w:type="gramStart"/>
      <w:r w:rsidR="00A648BA" w:rsidRPr="001445C1">
        <w:rPr>
          <w:rFonts w:ascii="Times New Roman" w:hAnsi="Times New Roman" w:cs="Times New Roman"/>
        </w:rPr>
        <w:t>is expected</w:t>
      </w:r>
      <w:proofErr w:type="gramEnd"/>
      <w:r w:rsidR="00A648BA" w:rsidRPr="001445C1">
        <w:rPr>
          <w:rFonts w:ascii="Times New Roman" w:hAnsi="Times New Roman" w:cs="Times New Roman"/>
        </w:rPr>
        <w:t xml:space="preserve"> to protect the in</w:t>
      </w:r>
      <w:r w:rsidRPr="001445C1">
        <w:rPr>
          <w:rFonts w:ascii="Times New Roman" w:hAnsi="Times New Roman" w:cs="Times New Roman"/>
        </w:rPr>
        <w:t>formation belonging to the Institution</w:t>
      </w:r>
      <w:r w:rsidR="00A648BA" w:rsidRPr="001445C1">
        <w:rPr>
          <w:rFonts w:ascii="Times New Roman" w:hAnsi="Times New Roman" w:cs="Times New Roman"/>
        </w:rPr>
        <w:t xml:space="preserve"> through the implementation of </w:t>
      </w:r>
      <w:r w:rsidRPr="001445C1">
        <w:rPr>
          <w:rFonts w:ascii="Times New Roman" w:hAnsi="Times New Roman" w:cs="Times New Roman"/>
        </w:rPr>
        <w:t xml:space="preserve">a </w:t>
      </w:r>
      <w:r w:rsidR="00A648BA" w:rsidRPr="001445C1">
        <w:rPr>
          <w:rFonts w:ascii="Times New Roman" w:hAnsi="Times New Roman" w:cs="Times New Roman"/>
        </w:rPr>
        <w:t xml:space="preserve">security program that provides for defense against intrusion, tampering, virus, detection.  </w:t>
      </w:r>
      <w:bookmarkStart w:id="18" w:name="_Toc113431292"/>
    </w:p>
    <w:p w:rsidR="003B5A5B" w:rsidRPr="001445C1" w:rsidRDefault="003B5A5B" w:rsidP="00BA34F7">
      <w:pPr>
        <w:pStyle w:val="CLIN-TO"/>
        <w:jc w:val="both"/>
        <w:rPr>
          <w:rFonts w:ascii="Times New Roman" w:hAnsi="Times New Roman" w:cs="Times New Roman"/>
        </w:rPr>
      </w:pPr>
      <w:r w:rsidRPr="001445C1">
        <w:rPr>
          <w:rFonts w:ascii="Times New Roman" w:hAnsi="Times New Roman" w:cs="Times New Roman"/>
        </w:rPr>
        <w:t>Covered entities are expected to apply a risk-based approach minimize its attack surface area through aggressive vulnerability management and patching operations.</w:t>
      </w:r>
    </w:p>
    <w:p w:rsidR="006404BC" w:rsidRPr="001445C1" w:rsidRDefault="003B5A5B" w:rsidP="00BA34F7">
      <w:pPr>
        <w:pStyle w:val="CLIN-TO"/>
        <w:jc w:val="both"/>
        <w:rPr>
          <w:rFonts w:ascii="Times New Roman" w:hAnsi="Times New Roman" w:cs="Times New Roman"/>
        </w:rPr>
      </w:pPr>
      <w:r w:rsidRPr="001445C1">
        <w:rPr>
          <w:rFonts w:ascii="Times New Roman" w:hAnsi="Times New Roman" w:cs="Times New Roman"/>
        </w:rPr>
        <w:lastRenderedPageBreak/>
        <w:t xml:space="preserve">Provider </w:t>
      </w:r>
      <w:proofErr w:type="gramStart"/>
      <w:r w:rsidR="000B1FD3" w:rsidRPr="001445C1">
        <w:rPr>
          <w:rFonts w:ascii="Times New Roman" w:hAnsi="Times New Roman" w:cs="Times New Roman"/>
        </w:rPr>
        <w:t>is expected</w:t>
      </w:r>
      <w:proofErr w:type="gramEnd"/>
      <w:r w:rsidR="000B1FD3" w:rsidRPr="001445C1">
        <w:rPr>
          <w:rFonts w:ascii="Times New Roman" w:hAnsi="Times New Roman" w:cs="Times New Roman"/>
        </w:rPr>
        <w:t xml:space="preserve"> to</w:t>
      </w:r>
      <w:r w:rsidRPr="001445C1">
        <w:rPr>
          <w:rFonts w:ascii="Times New Roman" w:hAnsi="Times New Roman" w:cs="Times New Roman"/>
        </w:rPr>
        <w:t xml:space="preserve"> implement and govern processes and documentation to facilitate the implementation of </w:t>
      </w:r>
      <w:r w:rsidR="00636202" w:rsidRPr="001445C1">
        <w:rPr>
          <w:rFonts w:ascii="Times New Roman" w:hAnsi="Times New Roman" w:cs="Times New Roman"/>
        </w:rPr>
        <w:t>a</w:t>
      </w:r>
      <w:r w:rsidRPr="001445C1">
        <w:rPr>
          <w:rFonts w:ascii="Times New Roman" w:hAnsi="Times New Roman" w:cs="Times New Roman"/>
        </w:rPr>
        <w:t xml:space="preserve"> Continuity of Operations (COOP) policy, as well as associated standards, controls and procedures.</w:t>
      </w:r>
    </w:p>
    <w:p w:rsidR="0097057C" w:rsidRPr="001445C1" w:rsidRDefault="00A648BA" w:rsidP="00BA34F7">
      <w:pPr>
        <w:pStyle w:val="Heading2"/>
        <w:rPr>
          <w:rFonts w:ascii="Times New Roman" w:hAnsi="Times New Roman" w:cs="Times New Roman"/>
        </w:rPr>
      </w:pPr>
      <w:r w:rsidRPr="001445C1">
        <w:rPr>
          <w:rFonts w:ascii="Times New Roman" w:hAnsi="Times New Roman" w:cs="Times New Roman"/>
        </w:rPr>
        <w:t>Formal Security Policy.</w:t>
      </w:r>
      <w:bookmarkEnd w:id="18"/>
      <w:r w:rsidRPr="001445C1">
        <w:rPr>
          <w:rFonts w:ascii="Times New Roman" w:hAnsi="Times New Roman" w:cs="Times New Roman"/>
        </w:rPr>
        <w:t xml:space="preserve">  </w:t>
      </w:r>
    </w:p>
    <w:p w:rsidR="00A648BA" w:rsidRPr="001445C1" w:rsidRDefault="00636202" w:rsidP="00BA34F7">
      <w:pPr>
        <w:pStyle w:val="CLIN-TO"/>
        <w:numPr>
          <w:ilvl w:val="0"/>
          <w:numId w:val="8"/>
        </w:numPr>
        <w:ind w:left="1080" w:hanging="720"/>
        <w:jc w:val="both"/>
        <w:rPr>
          <w:rFonts w:ascii="Times New Roman" w:hAnsi="Times New Roman" w:cs="Times New Roman"/>
        </w:rPr>
      </w:pPr>
      <w:r w:rsidRPr="001445C1">
        <w:rPr>
          <w:rFonts w:ascii="Times New Roman" w:hAnsi="Times New Roman" w:cs="Times New Roman"/>
        </w:rPr>
        <w:t xml:space="preserve">Provider shall protect the confidentiality, integrity, availability and safety of the Institution data and systems, regardless of how its data </w:t>
      </w:r>
      <w:proofErr w:type="gramStart"/>
      <w:r w:rsidRPr="001445C1">
        <w:rPr>
          <w:rFonts w:ascii="Times New Roman" w:hAnsi="Times New Roman" w:cs="Times New Roman"/>
        </w:rPr>
        <w:t>is created, distributed or stored</w:t>
      </w:r>
      <w:proofErr w:type="gramEnd"/>
      <w:r w:rsidRPr="001445C1">
        <w:rPr>
          <w:rFonts w:ascii="Times New Roman" w:hAnsi="Times New Roman" w:cs="Times New Roman"/>
        </w:rPr>
        <w:t xml:space="preserve">. Digital security controls </w:t>
      </w:r>
      <w:proofErr w:type="gramStart"/>
      <w:r w:rsidRPr="001445C1">
        <w:rPr>
          <w:rFonts w:ascii="Times New Roman" w:hAnsi="Times New Roman" w:cs="Times New Roman"/>
        </w:rPr>
        <w:t>will be tailored</w:t>
      </w:r>
      <w:proofErr w:type="gramEnd"/>
      <w:r w:rsidRPr="001445C1">
        <w:rPr>
          <w:rFonts w:ascii="Times New Roman" w:hAnsi="Times New Roman" w:cs="Times New Roman"/>
        </w:rPr>
        <w:t xml:space="preserve"> accordingly so that cost-effective controls can be applied commensurate with the risk and sensitivity of the data and system, in accordance with all statutory, regulatory and contractual obligations.</w:t>
      </w:r>
    </w:p>
    <w:p w:rsidR="00636202" w:rsidRPr="001445C1" w:rsidRDefault="00636202" w:rsidP="00BA34F7">
      <w:pPr>
        <w:pStyle w:val="CLIN-TO"/>
        <w:jc w:val="both"/>
        <w:rPr>
          <w:rFonts w:ascii="Times New Roman" w:hAnsi="Times New Roman" w:cs="Times New Roman"/>
        </w:rPr>
      </w:pPr>
      <w:r w:rsidRPr="001445C1">
        <w:rPr>
          <w:rFonts w:ascii="Times New Roman" w:hAnsi="Times New Roman" w:cs="Times New Roman"/>
        </w:rPr>
        <w:t>P</w:t>
      </w:r>
      <w:r w:rsidR="006404BC" w:rsidRPr="001445C1">
        <w:rPr>
          <w:rFonts w:ascii="Times New Roman" w:hAnsi="Times New Roman" w:cs="Times New Roman"/>
        </w:rPr>
        <w:t>rovider p</w:t>
      </w:r>
      <w:r w:rsidRPr="001445C1">
        <w:rPr>
          <w:rFonts w:ascii="Times New Roman" w:hAnsi="Times New Roman" w:cs="Times New Roman"/>
        </w:rPr>
        <w:t>rivacy and security policies and standards shall be available upon request in a consolidated document, the Information Security Program (ISP) that shall be:</w:t>
      </w:r>
    </w:p>
    <w:p w:rsidR="00636202" w:rsidRPr="001445C1" w:rsidRDefault="00636202" w:rsidP="00BA34F7">
      <w:pPr>
        <w:pStyle w:val="Heading3"/>
        <w:numPr>
          <w:ilvl w:val="0"/>
          <w:numId w:val="9"/>
        </w:numPr>
        <w:rPr>
          <w:rFonts w:ascii="Times New Roman" w:hAnsi="Times New Roman" w:cs="Times New Roman"/>
        </w:rPr>
      </w:pPr>
      <w:r w:rsidRPr="001445C1">
        <w:rPr>
          <w:rFonts w:ascii="Times New Roman" w:hAnsi="Times New Roman" w:cs="Times New Roman"/>
        </w:rPr>
        <w:t xml:space="preserve">Endorsed by executive management; </w:t>
      </w:r>
    </w:p>
    <w:p w:rsidR="00636202" w:rsidRPr="001445C1" w:rsidRDefault="00636202" w:rsidP="00BA34F7">
      <w:pPr>
        <w:pStyle w:val="Heading3"/>
        <w:rPr>
          <w:rFonts w:ascii="Times New Roman" w:hAnsi="Times New Roman" w:cs="Times New Roman"/>
        </w:rPr>
      </w:pPr>
      <w:r w:rsidRPr="001445C1">
        <w:rPr>
          <w:rFonts w:ascii="Times New Roman" w:hAnsi="Times New Roman" w:cs="Times New Roman"/>
        </w:rPr>
        <w:t>Disseminated to the appropriate parties to ensure all NMT personnel understand their applicable requirements.</w:t>
      </w:r>
    </w:p>
    <w:p w:rsidR="0097057C" w:rsidRPr="001445C1" w:rsidRDefault="00A648BA" w:rsidP="00BA34F7">
      <w:pPr>
        <w:pStyle w:val="Heading2"/>
        <w:rPr>
          <w:rFonts w:ascii="Times New Roman" w:hAnsi="Times New Roman" w:cs="Times New Roman"/>
        </w:rPr>
      </w:pPr>
      <w:bookmarkStart w:id="19" w:name="_Toc113431293"/>
      <w:r w:rsidRPr="001445C1">
        <w:rPr>
          <w:rFonts w:ascii="Times New Roman" w:hAnsi="Times New Roman" w:cs="Times New Roman"/>
        </w:rPr>
        <w:t>Incident Reporting.</w:t>
      </w:r>
      <w:bookmarkEnd w:id="19"/>
      <w:r w:rsidRPr="001445C1">
        <w:rPr>
          <w:rFonts w:ascii="Times New Roman" w:hAnsi="Times New Roman" w:cs="Times New Roman"/>
        </w:rPr>
        <w:t xml:space="preserve">  </w:t>
      </w:r>
    </w:p>
    <w:p w:rsidR="00B2616E" w:rsidRPr="001445C1" w:rsidRDefault="00B2616E" w:rsidP="00BA34F7">
      <w:pPr>
        <w:pStyle w:val="CLIN-TO"/>
        <w:jc w:val="both"/>
        <w:rPr>
          <w:rFonts w:ascii="Times New Roman" w:hAnsi="Times New Roman" w:cs="Times New Roman"/>
        </w:rPr>
      </w:pPr>
      <w:bookmarkStart w:id="20" w:name="_Toc113431294"/>
      <w:r w:rsidRPr="001445C1">
        <w:rPr>
          <w:rFonts w:ascii="Times New Roman" w:hAnsi="Times New Roman" w:cs="Times New Roman"/>
        </w:rPr>
        <w:t xml:space="preserve">Provider is required </w:t>
      </w:r>
      <w:r w:rsidR="00887F9A" w:rsidRPr="001445C1">
        <w:rPr>
          <w:rFonts w:ascii="Times New Roman" w:hAnsi="Times New Roman" w:cs="Times New Roman"/>
        </w:rPr>
        <w:t>to established processes and technical measures to triage security-related events and ensure timely and thorough incident management, as per established IT service management policies and procedures.</w:t>
      </w:r>
    </w:p>
    <w:p w:rsidR="00B2616E" w:rsidRPr="001445C1" w:rsidRDefault="00B2616E" w:rsidP="00BA34F7">
      <w:pPr>
        <w:pStyle w:val="CLIN-TO"/>
        <w:jc w:val="both"/>
        <w:rPr>
          <w:rFonts w:ascii="Times New Roman" w:hAnsi="Times New Roman" w:cs="Times New Roman"/>
        </w:rPr>
      </w:pPr>
      <w:r w:rsidRPr="001445C1">
        <w:rPr>
          <w:rFonts w:ascii="Times New Roman" w:hAnsi="Times New Roman" w:cs="Times New Roman"/>
        </w:rPr>
        <w:t xml:space="preserve">Provider is required to establish forensic procedures, including </w:t>
      </w:r>
      <w:r w:rsidRPr="001445C1">
        <w:rPr>
          <w:rFonts w:ascii="Times New Roman" w:hAnsi="Times New Roman" w:cs="Times New Roman"/>
          <w:noProof/>
        </w:rPr>
        <w:t>chain</w:t>
      </w:r>
      <w:r w:rsidRPr="001445C1">
        <w:rPr>
          <w:rFonts w:ascii="Times New Roman" w:hAnsi="Times New Roman" w:cs="Times New Roman"/>
        </w:rPr>
        <w:t xml:space="preserve"> of custody, to preserve evidence to support potential legal action subject to the relevant jurisdiction after a cybersecurity incident. </w:t>
      </w:r>
    </w:p>
    <w:p w:rsidR="00B2616E" w:rsidRPr="001445C1" w:rsidRDefault="00B2616E" w:rsidP="00BA34F7">
      <w:pPr>
        <w:pStyle w:val="CLIN-TO"/>
        <w:jc w:val="both"/>
        <w:rPr>
          <w:rFonts w:ascii="Times New Roman" w:hAnsi="Times New Roman" w:cs="Times New Roman"/>
        </w:rPr>
      </w:pPr>
      <w:r w:rsidRPr="001445C1">
        <w:rPr>
          <w:rFonts w:ascii="Times New Roman" w:hAnsi="Times New Roman" w:cs="Times New Roman"/>
        </w:rPr>
        <w:t>For actual or suspected cybersecurity incidents:</w:t>
      </w:r>
    </w:p>
    <w:p w:rsidR="00B2616E" w:rsidRPr="001445C1" w:rsidRDefault="00B2616E" w:rsidP="00BA34F7">
      <w:pPr>
        <w:pStyle w:val="Heading3"/>
        <w:numPr>
          <w:ilvl w:val="0"/>
          <w:numId w:val="14"/>
        </w:numPr>
        <w:ind w:left="1440" w:hanging="720"/>
        <w:rPr>
          <w:rFonts w:ascii="Times New Roman" w:hAnsi="Times New Roman" w:cs="Times New Roman"/>
        </w:rPr>
      </w:pPr>
      <w:r w:rsidRPr="001445C1">
        <w:rPr>
          <w:rFonts w:ascii="Times New Roman" w:hAnsi="Times New Roman" w:cs="Times New Roman"/>
        </w:rPr>
        <w:t>Provider is responsible for reporting system weaknesses, deficiencies, and vulnerabilities to the Institution as quickly as possible;</w:t>
      </w:r>
    </w:p>
    <w:p w:rsidR="00B2616E" w:rsidRPr="001445C1" w:rsidRDefault="00B2616E" w:rsidP="00BA34F7">
      <w:pPr>
        <w:pStyle w:val="Heading3"/>
        <w:rPr>
          <w:rFonts w:ascii="Times New Roman" w:hAnsi="Times New Roman" w:cs="Times New Roman"/>
        </w:rPr>
      </w:pPr>
      <w:r w:rsidRPr="001445C1">
        <w:rPr>
          <w:rFonts w:ascii="Times New Roman" w:hAnsi="Times New Roman" w:cs="Times New Roman"/>
        </w:rPr>
        <w:t xml:space="preserve">Information security events should be reported to the Institution as quickly as possible; </w:t>
      </w:r>
    </w:p>
    <w:p w:rsidR="00B2616E" w:rsidRPr="001445C1" w:rsidRDefault="00B2616E" w:rsidP="00BA34F7">
      <w:pPr>
        <w:pStyle w:val="CLIN-TO"/>
        <w:jc w:val="both"/>
        <w:rPr>
          <w:rFonts w:ascii="Times New Roman" w:hAnsi="Times New Roman" w:cs="Times New Roman"/>
        </w:rPr>
      </w:pPr>
      <w:r w:rsidRPr="001445C1">
        <w:rPr>
          <w:rFonts w:ascii="Times New Roman" w:hAnsi="Times New Roman" w:cs="Times New Roman"/>
        </w:rPr>
        <w:t>If a breach occurs, breach notification procedures must occur without unreasonable delay, except:</w:t>
      </w:r>
    </w:p>
    <w:p w:rsidR="00B2616E" w:rsidRPr="001445C1" w:rsidRDefault="00B2616E" w:rsidP="00BA34F7">
      <w:pPr>
        <w:pStyle w:val="Heading3"/>
        <w:numPr>
          <w:ilvl w:val="0"/>
          <w:numId w:val="15"/>
        </w:numPr>
        <w:ind w:left="1440" w:hanging="720"/>
        <w:rPr>
          <w:rFonts w:ascii="Times New Roman" w:hAnsi="Times New Roman" w:cs="Times New Roman"/>
        </w:rPr>
      </w:pPr>
      <w:r w:rsidRPr="001445C1">
        <w:rPr>
          <w:rFonts w:ascii="Times New Roman" w:hAnsi="Times New Roman" w:cs="Times New Roman"/>
        </w:rPr>
        <w:t xml:space="preserve">When a law enforcement agency has determined that notification will impede a criminal investigation; or </w:t>
      </w:r>
    </w:p>
    <w:p w:rsidR="00B2616E" w:rsidRPr="001445C1" w:rsidRDefault="00B2616E" w:rsidP="00BA34F7">
      <w:pPr>
        <w:pStyle w:val="Heading3"/>
        <w:rPr>
          <w:rFonts w:ascii="Times New Roman" w:hAnsi="Times New Roman" w:cs="Times New Roman"/>
        </w:rPr>
      </w:pPr>
      <w:r w:rsidRPr="001445C1">
        <w:rPr>
          <w:rFonts w:ascii="Times New Roman" w:hAnsi="Times New Roman" w:cs="Times New Roman"/>
        </w:rPr>
        <w:t>In order to discover the complete scope of the breach and restore the integrity of the system.</w:t>
      </w:r>
    </w:p>
    <w:p w:rsidR="0097057C" w:rsidRPr="001445C1" w:rsidRDefault="00A648BA" w:rsidP="00BA34F7">
      <w:pPr>
        <w:pStyle w:val="Heading2"/>
        <w:rPr>
          <w:rFonts w:ascii="Times New Roman" w:hAnsi="Times New Roman" w:cs="Times New Roman"/>
        </w:rPr>
      </w:pPr>
      <w:r w:rsidRPr="001445C1">
        <w:rPr>
          <w:rFonts w:ascii="Times New Roman" w:hAnsi="Times New Roman" w:cs="Times New Roman"/>
        </w:rPr>
        <w:lastRenderedPageBreak/>
        <w:t>Audit Trail Responsibilities.</w:t>
      </w:r>
      <w:bookmarkEnd w:id="20"/>
      <w:r w:rsidRPr="001445C1">
        <w:rPr>
          <w:rFonts w:ascii="Times New Roman" w:hAnsi="Times New Roman" w:cs="Times New Roman"/>
        </w:rPr>
        <w:t xml:space="preserve">  </w:t>
      </w:r>
    </w:p>
    <w:p w:rsidR="006404BC" w:rsidRPr="001445C1" w:rsidRDefault="000B1FD3" w:rsidP="00BA34F7">
      <w:pPr>
        <w:pStyle w:val="CLIN-TO"/>
        <w:numPr>
          <w:ilvl w:val="0"/>
          <w:numId w:val="10"/>
        </w:numPr>
        <w:ind w:left="1080" w:hanging="720"/>
        <w:jc w:val="both"/>
        <w:rPr>
          <w:rFonts w:ascii="Times New Roman" w:hAnsi="Times New Roman" w:cs="Times New Roman"/>
        </w:rPr>
      </w:pPr>
      <w:r w:rsidRPr="001445C1">
        <w:rPr>
          <w:rFonts w:ascii="Times New Roman" w:hAnsi="Times New Roman" w:cs="Times New Roman"/>
        </w:rPr>
        <w:t>Provider is required to configure system</w:t>
      </w:r>
      <w:r w:rsidR="006404BC" w:rsidRPr="001445C1">
        <w:rPr>
          <w:rFonts w:ascii="Times New Roman" w:hAnsi="Times New Roman" w:cs="Times New Roman"/>
        </w:rPr>
        <w:t xml:space="preserve"> to produce audit records that contain sufficient information to, at a minimum: </w:t>
      </w:r>
    </w:p>
    <w:p w:rsidR="006404BC" w:rsidRPr="001445C1" w:rsidRDefault="006404BC" w:rsidP="00BA34F7">
      <w:pPr>
        <w:pStyle w:val="Heading3"/>
        <w:numPr>
          <w:ilvl w:val="0"/>
          <w:numId w:val="11"/>
        </w:numPr>
        <w:rPr>
          <w:rFonts w:ascii="Times New Roman" w:hAnsi="Times New Roman" w:cs="Times New Roman"/>
        </w:rPr>
      </w:pPr>
      <w:r w:rsidRPr="001445C1">
        <w:rPr>
          <w:rFonts w:ascii="Times New Roman" w:hAnsi="Times New Roman" w:cs="Times New Roman"/>
        </w:rPr>
        <w:t>Establish what type of event occurred;</w:t>
      </w:r>
    </w:p>
    <w:p w:rsidR="006404BC" w:rsidRPr="001445C1" w:rsidRDefault="006404BC" w:rsidP="00BA34F7">
      <w:pPr>
        <w:pStyle w:val="Heading3"/>
        <w:rPr>
          <w:rFonts w:ascii="Times New Roman" w:hAnsi="Times New Roman" w:cs="Times New Roman"/>
        </w:rPr>
      </w:pPr>
      <w:r w:rsidRPr="001445C1">
        <w:rPr>
          <w:rFonts w:ascii="Times New Roman" w:hAnsi="Times New Roman" w:cs="Times New Roman"/>
        </w:rPr>
        <w:t>When (date and time) the event occurred;</w:t>
      </w:r>
    </w:p>
    <w:p w:rsidR="006404BC" w:rsidRPr="001445C1" w:rsidRDefault="006404BC" w:rsidP="00BA34F7">
      <w:pPr>
        <w:pStyle w:val="Heading3"/>
        <w:rPr>
          <w:rFonts w:ascii="Times New Roman" w:hAnsi="Times New Roman" w:cs="Times New Roman"/>
        </w:rPr>
      </w:pPr>
      <w:r w:rsidRPr="001445C1">
        <w:rPr>
          <w:rFonts w:ascii="Times New Roman" w:hAnsi="Times New Roman" w:cs="Times New Roman"/>
        </w:rPr>
        <w:t>Where the event occurred;</w:t>
      </w:r>
    </w:p>
    <w:p w:rsidR="006404BC" w:rsidRPr="001445C1" w:rsidRDefault="006404BC" w:rsidP="00BA34F7">
      <w:pPr>
        <w:pStyle w:val="Heading3"/>
        <w:rPr>
          <w:rFonts w:ascii="Times New Roman" w:hAnsi="Times New Roman" w:cs="Times New Roman"/>
        </w:rPr>
      </w:pPr>
      <w:r w:rsidRPr="001445C1">
        <w:rPr>
          <w:rFonts w:ascii="Times New Roman" w:hAnsi="Times New Roman" w:cs="Times New Roman"/>
        </w:rPr>
        <w:t>The source of the event;</w:t>
      </w:r>
    </w:p>
    <w:p w:rsidR="006404BC" w:rsidRPr="001445C1" w:rsidRDefault="006404BC" w:rsidP="00BA34F7">
      <w:pPr>
        <w:pStyle w:val="Heading3"/>
        <w:rPr>
          <w:rFonts w:ascii="Times New Roman" w:hAnsi="Times New Roman" w:cs="Times New Roman"/>
        </w:rPr>
      </w:pPr>
      <w:r w:rsidRPr="001445C1">
        <w:rPr>
          <w:rFonts w:ascii="Times New Roman" w:hAnsi="Times New Roman" w:cs="Times New Roman"/>
        </w:rPr>
        <w:t>The outcome (su</w:t>
      </w:r>
      <w:r w:rsidR="00887F9A" w:rsidRPr="001445C1">
        <w:rPr>
          <w:rFonts w:ascii="Times New Roman" w:hAnsi="Times New Roman" w:cs="Times New Roman"/>
        </w:rPr>
        <w:t>ccess or failure) of the event;</w:t>
      </w:r>
      <w:r w:rsidRPr="001445C1">
        <w:rPr>
          <w:rFonts w:ascii="Times New Roman" w:hAnsi="Times New Roman" w:cs="Times New Roman"/>
        </w:rPr>
        <w:t xml:space="preserve"> </w:t>
      </w:r>
    </w:p>
    <w:p w:rsidR="006404BC" w:rsidRPr="001445C1" w:rsidRDefault="006404BC" w:rsidP="00BA34F7">
      <w:pPr>
        <w:pStyle w:val="Heading3"/>
        <w:rPr>
          <w:rFonts w:ascii="Times New Roman" w:hAnsi="Times New Roman" w:cs="Times New Roman"/>
        </w:rPr>
      </w:pPr>
      <w:r w:rsidRPr="001445C1">
        <w:rPr>
          <w:rFonts w:ascii="Times New Roman" w:hAnsi="Times New Roman" w:cs="Times New Roman"/>
        </w:rPr>
        <w:t>The identity of any user / subject associated with the event.</w:t>
      </w:r>
    </w:p>
    <w:p w:rsidR="005A5778" w:rsidRPr="001445C1" w:rsidRDefault="000B1FD3" w:rsidP="00BA34F7">
      <w:pPr>
        <w:pStyle w:val="CLIN-TO"/>
        <w:jc w:val="both"/>
        <w:rPr>
          <w:rFonts w:ascii="Times New Roman" w:hAnsi="Times New Roman" w:cs="Times New Roman"/>
        </w:rPr>
      </w:pPr>
      <w:r w:rsidRPr="001445C1">
        <w:rPr>
          <w:rFonts w:ascii="Times New Roman" w:hAnsi="Times New Roman" w:cs="Times New Roman"/>
        </w:rPr>
        <w:t xml:space="preserve">Provider is required to </w:t>
      </w:r>
      <w:r w:rsidR="005A5778" w:rsidRPr="001445C1">
        <w:rPr>
          <w:rFonts w:ascii="Times New Roman" w:hAnsi="Times New Roman" w:cs="Times New Roman"/>
        </w:rPr>
        <w:t xml:space="preserve">configure systems to record at least the following audit trail entries for all system components for each event: </w:t>
      </w:r>
    </w:p>
    <w:p w:rsidR="005A5778" w:rsidRPr="001445C1" w:rsidRDefault="005A5778" w:rsidP="00BA34F7">
      <w:pPr>
        <w:pStyle w:val="Heading3"/>
        <w:numPr>
          <w:ilvl w:val="0"/>
          <w:numId w:val="12"/>
        </w:numPr>
        <w:rPr>
          <w:rFonts w:ascii="Times New Roman" w:hAnsi="Times New Roman" w:cs="Times New Roman"/>
        </w:rPr>
      </w:pPr>
      <w:r w:rsidRPr="001445C1">
        <w:rPr>
          <w:rFonts w:ascii="Times New Roman" w:hAnsi="Times New Roman" w:cs="Times New Roman"/>
        </w:rPr>
        <w:t xml:space="preserve">User identification; </w:t>
      </w:r>
    </w:p>
    <w:p w:rsidR="005A5778" w:rsidRPr="001445C1" w:rsidRDefault="005A5778" w:rsidP="00BA34F7">
      <w:pPr>
        <w:pStyle w:val="Heading3"/>
        <w:rPr>
          <w:rFonts w:ascii="Times New Roman" w:hAnsi="Times New Roman" w:cs="Times New Roman"/>
        </w:rPr>
      </w:pPr>
      <w:r w:rsidRPr="001445C1">
        <w:rPr>
          <w:rFonts w:ascii="Times New Roman" w:hAnsi="Times New Roman" w:cs="Times New Roman"/>
        </w:rPr>
        <w:t xml:space="preserve">Type of event; </w:t>
      </w:r>
    </w:p>
    <w:p w:rsidR="005A5778" w:rsidRPr="001445C1" w:rsidRDefault="005A5778" w:rsidP="00BA34F7">
      <w:pPr>
        <w:pStyle w:val="Heading3"/>
        <w:rPr>
          <w:rFonts w:ascii="Times New Roman" w:hAnsi="Times New Roman" w:cs="Times New Roman"/>
        </w:rPr>
      </w:pPr>
      <w:r w:rsidRPr="001445C1">
        <w:rPr>
          <w:rFonts w:ascii="Times New Roman" w:hAnsi="Times New Roman" w:cs="Times New Roman"/>
        </w:rPr>
        <w:t xml:space="preserve">Date and time; </w:t>
      </w:r>
    </w:p>
    <w:p w:rsidR="005A5778" w:rsidRPr="001445C1" w:rsidRDefault="005A5778" w:rsidP="00BA34F7">
      <w:pPr>
        <w:pStyle w:val="Heading3"/>
        <w:rPr>
          <w:rFonts w:ascii="Times New Roman" w:hAnsi="Times New Roman" w:cs="Times New Roman"/>
        </w:rPr>
      </w:pPr>
      <w:r w:rsidRPr="001445C1">
        <w:rPr>
          <w:rFonts w:ascii="Times New Roman" w:hAnsi="Times New Roman" w:cs="Times New Roman"/>
        </w:rPr>
        <w:t xml:space="preserve">Success or failure indication; </w:t>
      </w:r>
    </w:p>
    <w:p w:rsidR="005A5778" w:rsidRPr="001445C1" w:rsidRDefault="005A5778" w:rsidP="00BA34F7">
      <w:pPr>
        <w:pStyle w:val="Heading3"/>
        <w:rPr>
          <w:rFonts w:ascii="Times New Roman" w:hAnsi="Times New Roman" w:cs="Times New Roman"/>
        </w:rPr>
      </w:pPr>
      <w:r w:rsidRPr="001445C1">
        <w:rPr>
          <w:rFonts w:ascii="Times New Roman" w:hAnsi="Times New Roman" w:cs="Times New Roman"/>
        </w:rPr>
        <w:t xml:space="preserve">Origination of event; </w:t>
      </w:r>
    </w:p>
    <w:p w:rsidR="005A5778" w:rsidRPr="001445C1" w:rsidRDefault="005A5778" w:rsidP="00BA34F7">
      <w:pPr>
        <w:pStyle w:val="Heading3"/>
        <w:rPr>
          <w:rFonts w:ascii="Times New Roman" w:hAnsi="Times New Roman" w:cs="Times New Roman"/>
        </w:rPr>
      </w:pPr>
      <w:r w:rsidRPr="001445C1">
        <w:rPr>
          <w:rFonts w:ascii="Times New Roman" w:hAnsi="Times New Roman" w:cs="Times New Roman"/>
        </w:rPr>
        <w:t>Identity or name of affected data, system component or resource.</w:t>
      </w:r>
    </w:p>
    <w:p w:rsidR="000B1FD3" w:rsidRPr="001445C1" w:rsidRDefault="000B1FD3" w:rsidP="00BA34F7">
      <w:pPr>
        <w:pStyle w:val="CLIN-TO"/>
        <w:jc w:val="both"/>
        <w:rPr>
          <w:rFonts w:ascii="Times New Roman" w:hAnsi="Times New Roman" w:cs="Times New Roman"/>
        </w:rPr>
      </w:pPr>
      <w:r w:rsidRPr="001445C1">
        <w:rPr>
          <w:rFonts w:ascii="Times New Roman" w:hAnsi="Times New Roman" w:cs="Times New Roman"/>
        </w:rPr>
        <w:t>Provider is required protect sensitive data contained in log files.</w:t>
      </w:r>
    </w:p>
    <w:p w:rsidR="000B1FD3" w:rsidRPr="001445C1" w:rsidRDefault="000B1FD3" w:rsidP="00BA34F7">
      <w:pPr>
        <w:pStyle w:val="CLIN-TO"/>
        <w:jc w:val="both"/>
        <w:rPr>
          <w:rFonts w:ascii="Times New Roman" w:hAnsi="Times New Roman" w:cs="Times New Roman"/>
        </w:rPr>
      </w:pPr>
      <w:r w:rsidRPr="001445C1">
        <w:rPr>
          <w:rFonts w:ascii="Times New Roman" w:hAnsi="Times New Roman" w:cs="Times New Roman"/>
        </w:rPr>
        <w:t>Provider is required to limit Personal Information (PI) contained in audit records to the elements identified</w:t>
      </w:r>
      <w:r w:rsidR="00B719CC" w:rsidRPr="001445C1">
        <w:rPr>
          <w:rFonts w:ascii="Times New Roman" w:hAnsi="Times New Roman" w:cs="Times New Roman"/>
        </w:rPr>
        <w:t>.</w:t>
      </w:r>
    </w:p>
    <w:p w:rsidR="00B719CC" w:rsidRPr="001445C1" w:rsidRDefault="00B719CC" w:rsidP="00BA34F7">
      <w:pPr>
        <w:pStyle w:val="CLIN-TO"/>
        <w:jc w:val="both"/>
        <w:rPr>
          <w:rFonts w:ascii="Times New Roman" w:hAnsi="Times New Roman" w:cs="Times New Roman"/>
        </w:rPr>
      </w:pPr>
      <w:r w:rsidRPr="001445C1">
        <w:rPr>
          <w:rFonts w:ascii="Times New Roman" w:hAnsi="Times New Roman" w:cs="Times New Roman"/>
        </w:rPr>
        <w:t>Provider is required to protect and where required encrypt, log files that may contain sensitive data:</w:t>
      </w:r>
    </w:p>
    <w:p w:rsidR="00B719CC" w:rsidRPr="001445C1" w:rsidRDefault="00B719CC" w:rsidP="00BA34F7">
      <w:pPr>
        <w:pStyle w:val="Heading3"/>
        <w:numPr>
          <w:ilvl w:val="0"/>
          <w:numId w:val="13"/>
        </w:numPr>
        <w:rPr>
          <w:rFonts w:ascii="Times New Roman" w:hAnsi="Times New Roman" w:cs="Times New Roman"/>
        </w:rPr>
      </w:pPr>
      <w:r w:rsidRPr="001445C1">
        <w:rPr>
          <w:rFonts w:ascii="Times New Roman" w:hAnsi="Times New Roman" w:cs="Times New Roman"/>
        </w:rPr>
        <w:t>Passwords in the clear;</w:t>
      </w:r>
    </w:p>
    <w:p w:rsidR="00887F9A" w:rsidRPr="001445C1" w:rsidRDefault="00887F9A" w:rsidP="00BA34F7">
      <w:pPr>
        <w:pStyle w:val="Heading3"/>
        <w:rPr>
          <w:rFonts w:ascii="Times New Roman" w:hAnsi="Times New Roman" w:cs="Times New Roman"/>
        </w:rPr>
      </w:pPr>
      <w:r w:rsidRPr="001445C1">
        <w:rPr>
          <w:rFonts w:ascii="Times New Roman" w:hAnsi="Times New Roman" w:cs="Times New Roman"/>
        </w:rPr>
        <w:t>Social Security Numbers;</w:t>
      </w:r>
    </w:p>
    <w:p w:rsidR="00887F9A" w:rsidRPr="001445C1" w:rsidRDefault="00887F9A" w:rsidP="00BA34F7">
      <w:pPr>
        <w:pStyle w:val="Heading3"/>
        <w:rPr>
          <w:rFonts w:ascii="Times New Roman" w:hAnsi="Times New Roman" w:cs="Times New Roman"/>
        </w:rPr>
      </w:pPr>
      <w:r w:rsidRPr="001445C1">
        <w:rPr>
          <w:rFonts w:ascii="Times New Roman" w:hAnsi="Times New Roman" w:cs="Times New Roman"/>
        </w:rPr>
        <w:t>Driver’s License Numbers;</w:t>
      </w:r>
    </w:p>
    <w:p w:rsidR="00887F9A" w:rsidRPr="001445C1" w:rsidRDefault="00887F9A" w:rsidP="00BA34F7">
      <w:pPr>
        <w:pStyle w:val="Heading3"/>
        <w:rPr>
          <w:rFonts w:ascii="Times New Roman" w:hAnsi="Times New Roman" w:cs="Times New Roman"/>
        </w:rPr>
      </w:pPr>
      <w:r w:rsidRPr="001445C1">
        <w:rPr>
          <w:rFonts w:ascii="Times New Roman" w:hAnsi="Times New Roman" w:cs="Times New Roman"/>
        </w:rPr>
        <w:t>Protected Health Information;</w:t>
      </w:r>
    </w:p>
    <w:p w:rsidR="00887F9A" w:rsidRPr="001445C1" w:rsidRDefault="00887F9A" w:rsidP="00BA34F7">
      <w:pPr>
        <w:pStyle w:val="Heading3"/>
        <w:rPr>
          <w:rFonts w:ascii="Times New Roman" w:hAnsi="Times New Roman" w:cs="Times New Roman"/>
        </w:rPr>
      </w:pPr>
      <w:r w:rsidRPr="001445C1">
        <w:rPr>
          <w:rFonts w:ascii="Times New Roman" w:hAnsi="Times New Roman" w:cs="Times New Roman"/>
        </w:rPr>
        <w:lastRenderedPageBreak/>
        <w:t>Insurance Policy Numbers;</w:t>
      </w:r>
    </w:p>
    <w:p w:rsidR="00887F9A" w:rsidRPr="001445C1" w:rsidRDefault="00887F9A" w:rsidP="00BA34F7">
      <w:pPr>
        <w:pStyle w:val="Heading3"/>
        <w:rPr>
          <w:rFonts w:ascii="Times New Roman" w:hAnsi="Times New Roman" w:cs="Times New Roman"/>
        </w:rPr>
      </w:pPr>
      <w:r w:rsidRPr="001445C1">
        <w:rPr>
          <w:rFonts w:ascii="Times New Roman" w:hAnsi="Times New Roman" w:cs="Times New Roman"/>
        </w:rPr>
        <w:t>Credit Card Numbers;</w:t>
      </w:r>
    </w:p>
    <w:p w:rsidR="00887F9A" w:rsidRPr="001445C1" w:rsidRDefault="00887F9A" w:rsidP="00BA34F7">
      <w:pPr>
        <w:pStyle w:val="Heading3"/>
        <w:rPr>
          <w:rFonts w:ascii="Times New Roman" w:hAnsi="Times New Roman" w:cs="Times New Roman"/>
        </w:rPr>
      </w:pPr>
      <w:r w:rsidRPr="001445C1">
        <w:rPr>
          <w:rFonts w:ascii="Times New Roman" w:hAnsi="Times New Roman" w:cs="Times New Roman"/>
        </w:rPr>
        <w:t>Student ID Numbers;</w:t>
      </w:r>
    </w:p>
    <w:p w:rsidR="00887F9A" w:rsidRPr="001445C1" w:rsidRDefault="00887F9A" w:rsidP="00BA34F7">
      <w:pPr>
        <w:pStyle w:val="Heading3"/>
        <w:rPr>
          <w:rFonts w:ascii="Times New Roman" w:hAnsi="Times New Roman" w:cs="Times New Roman"/>
        </w:rPr>
      </w:pPr>
      <w:r w:rsidRPr="001445C1">
        <w:rPr>
          <w:rFonts w:ascii="Times New Roman" w:hAnsi="Times New Roman" w:cs="Times New Roman"/>
        </w:rPr>
        <w:t>Employee ID Numbers;</w:t>
      </w:r>
    </w:p>
    <w:p w:rsidR="00887F9A" w:rsidRPr="001445C1" w:rsidRDefault="00887F9A" w:rsidP="00BA34F7">
      <w:pPr>
        <w:pStyle w:val="Heading3"/>
        <w:rPr>
          <w:rFonts w:ascii="Times New Roman" w:hAnsi="Times New Roman" w:cs="Times New Roman"/>
        </w:rPr>
      </w:pPr>
      <w:r w:rsidRPr="001445C1">
        <w:rPr>
          <w:rFonts w:ascii="Times New Roman" w:hAnsi="Times New Roman" w:cs="Times New Roman"/>
        </w:rPr>
        <w:t>Bank Account Numbers;</w:t>
      </w:r>
    </w:p>
    <w:p w:rsidR="00B719CC" w:rsidRPr="001445C1" w:rsidRDefault="00887F9A" w:rsidP="00BA34F7">
      <w:pPr>
        <w:pStyle w:val="Heading3"/>
        <w:rPr>
          <w:rFonts w:ascii="Times New Roman" w:hAnsi="Times New Roman" w:cs="Times New Roman"/>
        </w:rPr>
      </w:pPr>
      <w:r w:rsidRPr="001445C1">
        <w:rPr>
          <w:rFonts w:ascii="Times New Roman" w:hAnsi="Times New Roman" w:cs="Times New Roman"/>
        </w:rPr>
        <w:t>Covered Defense Information (CDI)</w:t>
      </w:r>
      <w:r w:rsidR="001445C1">
        <w:rPr>
          <w:rFonts w:ascii="Times New Roman" w:hAnsi="Times New Roman" w:cs="Times New Roman"/>
        </w:rPr>
        <w:t xml:space="preserve"> Categories</w:t>
      </w:r>
      <w:r w:rsidRPr="001445C1">
        <w:rPr>
          <w:rFonts w:ascii="Times New Roman" w:hAnsi="Times New Roman" w:cs="Times New Roman"/>
        </w:rPr>
        <w:t>.</w:t>
      </w:r>
    </w:p>
    <w:p w:rsidR="00111C90" w:rsidRPr="001445C1" w:rsidRDefault="00A648BA" w:rsidP="00BA34F7">
      <w:pPr>
        <w:pStyle w:val="Heading2"/>
        <w:rPr>
          <w:rFonts w:ascii="Times New Roman" w:hAnsi="Times New Roman" w:cs="Times New Roman"/>
        </w:rPr>
      </w:pPr>
      <w:bookmarkStart w:id="21" w:name="_Toc113431295"/>
      <w:r w:rsidRPr="001445C1">
        <w:rPr>
          <w:rFonts w:ascii="Times New Roman" w:hAnsi="Times New Roman" w:cs="Times New Roman"/>
        </w:rPr>
        <w:t>Security Parameters.</w:t>
      </w:r>
      <w:bookmarkEnd w:id="21"/>
      <w:r w:rsidRPr="001445C1">
        <w:rPr>
          <w:rFonts w:ascii="Times New Roman" w:hAnsi="Times New Roman" w:cs="Times New Roman"/>
        </w:rPr>
        <w:t xml:space="preserve">  </w:t>
      </w:r>
    </w:p>
    <w:p w:rsidR="002A46BB" w:rsidRPr="001445C1" w:rsidRDefault="00793189" w:rsidP="00BA34F7">
      <w:pPr>
        <w:pStyle w:val="CLIN-TO"/>
        <w:numPr>
          <w:ilvl w:val="0"/>
          <w:numId w:val="7"/>
        </w:numPr>
        <w:ind w:left="1080" w:hanging="720"/>
        <w:jc w:val="both"/>
        <w:rPr>
          <w:rFonts w:ascii="Times New Roman" w:hAnsi="Times New Roman" w:cs="Times New Roman"/>
        </w:rPr>
      </w:pPr>
      <w:r>
        <w:rPr>
          <w:rFonts w:ascii="Times New Roman" w:hAnsi="Times New Roman" w:cs="Times New Roman"/>
        </w:rPr>
        <w:t>All Parties are</w:t>
      </w:r>
      <w:r w:rsidR="009A639D" w:rsidRPr="001445C1">
        <w:rPr>
          <w:rFonts w:ascii="Times New Roman" w:hAnsi="Times New Roman" w:cs="Times New Roman"/>
        </w:rPr>
        <w:t xml:space="preserve"> required to protect NMT’s systems and data in accordance with applicable statutory, regulatory and con</w:t>
      </w:r>
      <w:r w:rsidR="002013F7" w:rsidRPr="001445C1">
        <w:rPr>
          <w:rFonts w:ascii="Times New Roman" w:hAnsi="Times New Roman" w:cs="Times New Roman"/>
        </w:rPr>
        <w:t>tractual compliance obligations;</w:t>
      </w:r>
    </w:p>
    <w:p w:rsidR="007611FD" w:rsidRPr="001445C1" w:rsidRDefault="00D11E5D" w:rsidP="00BA34F7">
      <w:pPr>
        <w:pStyle w:val="CLIN-TO"/>
        <w:jc w:val="both"/>
        <w:rPr>
          <w:rFonts w:ascii="Times New Roman" w:hAnsi="Times New Roman" w:cs="Times New Roman"/>
        </w:rPr>
      </w:pPr>
      <w:r w:rsidRPr="001445C1">
        <w:rPr>
          <w:rFonts w:ascii="Times New Roman" w:hAnsi="Times New Roman" w:cs="Times New Roman"/>
        </w:rPr>
        <w:t>Provider</w:t>
      </w:r>
      <w:r w:rsidR="007611FD" w:rsidRPr="001445C1">
        <w:rPr>
          <w:rFonts w:ascii="Times New Roman" w:hAnsi="Times New Roman" w:cs="Times New Roman"/>
        </w:rPr>
        <w:t xml:space="preserve"> shall establish procedures, supporting business processes and implement technical measures to ensure the continuity and availability of operations while operating in other-than-normal conditions</w:t>
      </w:r>
      <w:r w:rsidR="002013F7" w:rsidRPr="001445C1">
        <w:rPr>
          <w:rFonts w:ascii="Times New Roman" w:hAnsi="Times New Roman" w:cs="Times New Roman"/>
        </w:rPr>
        <w:t>;</w:t>
      </w:r>
    </w:p>
    <w:p w:rsidR="00062377" w:rsidRPr="001445C1" w:rsidRDefault="00062377" w:rsidP="00BA34F7">
      <w:pPr>
        <w:pStyle w:val="CLIN-TO"/>
        <w:jc w:val="both"/>
        <w:rPr>
          <w:rFonts w:ascii="Times New Roman" w:hAnsi="Times New Roman" w:cs="Times New Roman"/>
        </w:rPr>
      </w:pPr>
      <w:r w:rsidRPr="001445C1">
        <w:rPr>
          <w:rFonts w:ascii="Times New Roman" w:hAnsi="Times New Roman" w:cs="Times New Roman"/>
        </w:rPr>
        <w:t xml:space="preserve">Unless otherwise protected by </w:t>
      </w:r>
      <w:r w:rsidR="002D1B53" w:rsidRPr="001445C1">
        <w:rPr>
          <w:rFonts w:ascii="Times New Roman" w:hAnsi="Times New Roman" w:cs="Times New Roman"/>
        </w:rPr>
        <w:t>NMT</w:t>
      </w:r>
      <w:r w:rsidRPr="001445C1">
        <w:rPr>
          <w:rFonts w:ascii="Times New Roman" w:hAnsi="Times New Roman" w:cs="Times New Roman"/>
        </w:rPr>
        <w:t xml:space="preserve">-defined alternative physical safeguards, </w:t>
      </w:r>
      <w:r w:rsidR="00D11E5D" w:rsidRPr="001445C1">
        <w:rPr>
          <w:rFonts w:ascii="Times New Roman" w:hAnsi="Times New Roman" w:cs="Times New Roman"/>
        </w:rPr>
        <w:t>Provider</w:t>
      </w:r>
      <w:r w:rsidRPr="001445C1">
        <w:rPr>
          <w:rFonts w:ascii="Times New Roman" w:hAnsi="Times New Roman" w:cs="Times New Roman"/>
        </w:rPr>
        <w:t xml:space="preserve"> must:</w:t>
      </w:r>
    </w:p>
    <w:p w:rsidR="00062377" w:rsidRPr="001445C1" w:rsidRDefault="00062377" w:rsidP="00BA34F7">
      <w:pPr>
        <w:pStyle w:val="Heading3"/>
        <w:numPr>
          <w:ilvl w:val="0"/>
          <w:numId w:val="6"/>
        </w:numPr>
        <w:ind w:left="1440" w:hanging="720"/>
        <w:rPr>
          <w:rFonts w:ascii="Times New Roman" w:hAnsi="Times New Roman" w:cs="Times New Roman"/>
        </w:rPr>
      </w:pPr>
      <w:bookmarkStart w:id="22" w:name="_Toc113431296"/>
      <w:r w:rsidRPr="001445C1">
        <w:rPr>
          <w:rFonts w:ascii="Times New Roman" w:hAnsi="Times New Roman" w:cs="Times New Roman"/>
        </w:rPr>
        <w:t>Implement cryptographic mechanisms to prevent unauthorized disclosure of information;</w:t>
      </w:r>
      <w:bookmarkEnd w:id="22"/>
      <w:r w:rsidRPr="001445C1">
        <w:rPr>
          <w:rFonts w:ascii="Times New Roman" w:hAnsi="Times New Roman" w:cs="Times New Roman"/>
        </w:rPr>
        <w:t xml:space="preserve"> </w:t>
      </w:r>
    </w:p>
    <w:p w:rsidR="00062377" w:rsidRPr="001445C1" w:rsidRDefault="00062377" w:rsidP="00BA34F7">
      <w:pPr>
        <w:pStyle w:val="Heading3"/>
        <w:rPr>
          <w:rFonts w:ascii="Times New Roman" w:hAnsi="Times New Roman" w:cs="Times New Roman"/>
        </w:rPr>
      </w:pPr>
      <w:bookmarkStart w:id="23" w:name="_Toc113431297"/>
      <w:r w:rsidRPr="001445C1">
        <w:rPr>
          <w:rFonts w:ascii="Times New Roman" w:hAnsi="Times New Roman" w:cs="Times New Roman"/>
        </w:rPr>
        <w:t xml:space="preserve">Detect changes to </w:t>
      </w:r>
      <w:r w:rsidR="002013F7" w:rsidRPr="001445C1">
        <w:rPr>
          <w:rFonts w:ascii="Times New Roman" w:hAnsi="Times New Roman" w:cs="Times New Roman"/>
        </w:rPr>
        <w:t>information during transmission;</w:t>
      </w:r>
      <w:bookmarkEnd w:id="23"/>
    </w:p>
    <w:p w:rsidR="002013F7" w:rsidRPr="001445C1" w:rsidRDefault="002013F7" w:rsidP="00BA34F7">
      <w:pPr>
        <w:pStyle w:val="Heading3"/>
        <w:rPr>
          <w:rFonts w:ascii="Times New Roman" w:hAnsi="Times New Roman" w:cs="Times New Roman"/>
        </w:rPr>
      </w:pPr>
      <w:bookmarkStart w:id="24" w:name="_Toc113431298"/>
      <w:r w:rsidRPr="001445C1">
        <w:rPr>
          <w:rFonts w:ascii="Times New Roman" w:hAnsi="Times New Roman" w:cs="Times New Roman"/>
        </w:rPr>
        <w:t>Systems prevent unauthorized and unintended information transfer via shared system resources;</w:t>
      </w:r>
      <w:bookmarkEnd w:id="24"/>
    </w:p>
    <w:p w:rsidR="0097057C" w:rsidRPr="001445C1" w:rsidRDefault="009A639D" w:rsidP="00BA34F7">
      <w:pPr>
        <w:pStyle w:val="Heading2"/>
        <w:rPr>
          <w:rFonts w:ascii="Times New Roman" w:hAnsi="Times New Roman" w:cs="Times New Roman"/>
        </w:rPr>
      </w:pPr>
      <w:bookmarkStart w:id="25" w:name="_Toc113431300"/>
      <w:r w:rsidRPr="001445C1">
        <w:rPr>
          <w:rFonts w:ascii="Times New Roman" w:hAnsi="Times New Roman" w:cs="Times New Roman"/>
        </w:rPr>
        <w:t>Training</w:t>
      </w:r>
      <w:r w:rsidR="00A648BA" w:rsidRPr="001445C1">
        <w:rPr>
          <w:rFonts w:ascii="Times New Roman" w:hAnsi="Times New Roman" w:cs="Times New Roman"/>
        </w:rPr>
        <w:t xml:space="preserve"> and Awareness.</w:t>
      </w:r>
      <w:bookmarkEnd w:id="25"/>
      <w:r w:rsidR="00A648BA" w:rsidRPr="001445C1">
        <w:rPr>
          <w:rFonts w:ascii="Times New Roman" w:hAnsi="Times New Roman" w:cs="Times New Roman"/>
        </w:rPr>
        <w:t xml:space="preserve">  </w:t>
      </w:r>
    </w:p>
    <w:p w:rsidR="008644C0" w:rsidRPr="001445C1" w:rsidRDefault="00EB5BB0" w:rsidP="00BA34F7">
      <w:pPr>
        <w:pStyle w:val="CLIN-TO"/>
        <w:numPr>
          <w:ilvl w:val="0"/>
          <w:numId w:val="16"/>
        </w:numPr>
        <w:ind w:left="1080" w:hanging="720"/>
        <w:jc w:val="both"/>
        <w:rPr>
          <w:rFonts w:ascii="Times New Roman" w:hAnsi="Times New Roman" w:cs="Times New Roman"/>
        </w:rPr>
      </w:pPr>
      <w:bookmarkStart w:id="26" w:name="_Toc113431301"/>
      <w:r w:rsidRPr="001445C1">
        <w:rPr>
          <w:rFonts w:ascii="Times New Roman" w:hAnsi="Times New Roman" w:cs="Times New Roman"/>
        </w:rPr>
        <w:t>Provider is require to ensure all users are made aware of the security and privacy risks associated with their roles and that users understand the applicable statutory, regulatory and contractual compliance requirements related to the security and privacy of systems and data within their sphere of influence.</w:t>
      </w:r>
    </w:p>
    <w:bookmarkEnd w:id="26"/>
    <w:p w:rsidR="001445C1" w:rsidRDefault="001445C1" w:rsidP="00BA34F7">
      <w:pPr>
        <w:jc w:val="both"/>
        <w:rPr>
          <w:rFonts w:ascii="Times New Roman" w:hAnsi="Times New Roman" w:cs="Times New Roman"/>
          <w:spacing w:val="20"/>
          <w:sz w:val="22"/>
          <w:szCs w:val="22"/>
        </w:rPr>
      </w:pPr>
      <w:r>
        <w:rPr>
          <w:rFonts w:ascii="Times New Roman" w:hAnsi="Times New Roman" w:cs="Times New Roman"/>
          <w:spacing w:val="20"/>
          <w:sz w:val="22"/>
          <w:szCs w:val="22"/>
        </w:rPr>
        <w:br w:type="page"/>
      </w:r>
    </w:p>
    <w:p w:rsidR="004C26F0" w:rsidRPr="001445C1" w:rsidRDefault="004C26F0" w:rsidP="00BA34F7">
      <w:pPr>
        <w:spacing w:before="240" w:after="240"/>
        <w:jc w:val="both"/>
        <w:rPr>
          <w:rFonts w:ascii="Times New Roman" w:hAnsi="Times New Roman" w:cs="Times New Roman"/>
          <w:spacing w:val="20"/>
          <w:sz w:val="22"/>
          <w:szCs w:val="22"/>
        </w:rPr>
      </w:pPr>
    </w:p>
    <w:p w:rsidR="00944CB2" w:rsidRPr="001445C1" w:rsidRDefault="001A3BF4" w:rsidP="00BA34F7">
      <w:pPr>
        <w:spacing w:before="240" w:after="240"/>
        <w:jc w:val="both"/>
        <w:rPr>
          <w:rFonts w:ascii="Times New Roman" w:hAnsi="Times New Roman" w:cs="Times New Roman"/>
          <w:spacing w:val="20"/>
          <w:sz w:val="22"/>
          <w:szCs w:val="22"/>
        </w:rPr>
      </w:pPr>
      <w:r w:rsidRPr="001445C1">
        <w:rPr>
          <w:rFonts w:ascii="Times New Roman" w:hAnsi="Times New Roman" w:cs="Times New Roman"/>
          <w:spacing w:val="20"/>
          <w:sz w:val="22"/>
          <w:szCs w:val="22"/>
        </w:rPr>
        <w:t xml:space="preserve">This Agreement constitutes the entire agreement and understanding of the </w:t>
      </w:r>
      <w:r w:rsidR="00D23D9B" w:rsidRPr="001445C1">
        <w:rPr>
          <w:rFonts w:ascii="Times New Roman" w:hAnsi="Times New Roman" w:cs="Times New Roman"/>
          <w:spacing w:val="20"/>
          <w:sz w:val="22"/>
          <w:szCs w:val="22"/>
        </w:rPr>
        <w:t>Provider and the Institution</w:t>
      </w:r>
      <w:r w:rsidRPr="001445C1">
        <w:rPr>
          <w:rFonts w:ascii="Times New Roman" w:hAnsi="Times New Roman" w:cs="Times New Roman"/>
          <w:spacing w:val="20"/>
          <w:sz w:val="22"/>
          <w:szCs w:val="22"/>
        </w:rPr>
        <w:t xml:space="preserve"> with</w:t>
      </w:r>
      <w:r w:rsidR="00D23D9B" w:rsidRPr="001445C1">
        <w:rPr>
          <w:rFonts w:ascii="Times New Roman" w:hAnsi="Times New Roman" w:cs="Times New Roman"/>
          <w:spacing w:val="20"/>
          <w:sz w:val="22"/>
          <w:szCs w:val="22"/>
        </w:rPr>
        <w:t xml:space="preserve"> </w:t>
      </w:r>
      <w:r w:rsidRPr="001445C1">
        <w:rPr>
          <w:rFonts w:ascii="Times New Roman" w:hAnsi="Times New Roman" w:cs="Times New Roman"/>
          <w:spacing w:val="20"/>
          <w:sz w:val="22"/>
          <w:szCs w:val="22"/>
        </w:rPr>
        <w:t xml:space="preserve">respect to the subject matter hereof, and is intended as the </w:t>
      </w:r>
      <w:r w:rsidR="00D23D9B" w:rsidRPr="001445C1">
        <w:rPr>
          <w:rFonts w:ascii="Times New Roman" w:hAnsi="Times New Roman" w:cs="Times New Roman"/>
          <w:spacing w:val="20"/>
          <w:sz w:val="22"/>
          <w:szCs w:val="22"/>
        </w:rPr>
        <w:t>Provider’s</w:t>
      </w:r>
      <w:r w:rsidRPr="001445C1">
        <w:rPr>
          <w:rFonts w:ascii="Times New Roman" w:hAnsi="Times New Roman" w:cs="Times New Roman"/>
          <w:spacing w:val="20"/>
          <w:sz w:val="22"/>
          <w:szCs w:val="22"/>
        </w:rPr>
        <w:t xml:space="preserve"> final expression and complete and exclusive statement of the terms thereof, </w:t>
      </w:r>
      <w:r w:rsidR="00D23D9B" w:rsidRPr="001445C1">
        <w:rPr>
          <w:rFonts w:ascii="Times New Roman" w:hAnsi="Times New Roman" w:cs="Times New Roman"/>
          <w:spacing w:val="20"/>
          <w:sz w:val="22"/>
          <w:szCs w:val="22"/>
        </w:rPr>
        <w:t xml:space="preserve">not to </w:t>
      </w:r>
      <w:r w:rsidRPr="001445C1">
        <w:rPr>
          <w:rFonts w:ascii="Times New Roman" w:hAnsi="Times New Roman" w:cs="Times New Roman"/>
          <w:spacing w:val="20"/>
          <w:sz w:val="22"/>
          <w:szCs w:val="22"/>
        </w:rPr>
        <w:t>supersed</w:t>
      </w:r>
      <w:r w:rsidR="00D23D9B" w:rsidRPr="001445C1">
        <w:rPr>
          <w:rFonts w:ascii="Times New Roman" w:hAnsi="Times New Roman" w:cs="Times New Roman"/>
          <w:spacing w:val="20"/>
          <w:sz w:val="22"/>
          <w:szCs w:val="22"/>
        </w:rPr>
        <w:t>e</w:t>
      </w:r>
      <w:r w:rsidRPr="001445C1">
        <w:rPr>
          <w:rFonts w:ascii="Times New Roman" w:hAnsi="Times New Roman" w:cs="Times New Roman"/>
          <w:spacing w:val="20"/>
          <w:sz w:val="22"/>
          <w:szCs w:val="22"/>
        </w:rPr>
        <w:t xml:space="preserve"> all prior or contemporaneous agreements, representations, promises and understandings, whether written or oral. Neither Party is to </w:t>
      </w:r>
      <w:proofErr w:type="gramStart"/>
      <w:r w:rsidRPr="001445C1">
        <w:rPr>
          <w:rFonts w:ascii="Times New Roman" w:hAnsi="Times New Roman" w:cs="Times New Roman"/>
          <w:spacing w:val="20"/>
          <w:sz w:val="22"/>
          <w:szCs w:val="22"/>
        </w:rPr>
        <w:t>be bound</w:t>
      </w:r>
      <w:proofErr w:type="gramEnd"/>
      <w:r w:rsidRPr="001445C1">
        <w:rPr>
          <w:rFonts w:ascii="Times New Roman" w:hAnsi="Times New Roman" w:cs="Times New Roman"/>
          <w:spacing w:val="20"/>
          <w:sz w:val="22"/>
          <w:szCs w:val="22"/>
        </w:rPr>
        <w:t xml:space="preserve"> by any pre-printed terms appearing in the other Party’s form documents, tariffs, purchase orders, quotations, acknowledgments, invoices, or other instruments. This Agreement </w:t>
      </w:r>
      <w:proofErr w:type="gramStart"/>
      <w:r w:rsidRPr="001445C1">
        <w:rPr>
          <w:rFonts w:ascii="Times New Roman" w:hAnsi="Times New Roman" w:cs="Times New Roman"/>
          <w:spacing w:val="20"/>
          <w:sz w:val="22"/>
          <w:szCs w:val="22"/>
        </w:rPr>
        <w:t>may be amended or modified only by an instrument in writing signed by both Parties</w:t>
      </w:r>
      <w:proofErr w:type="gramEnd"/>
      <w:r w:rsidRPr="001445C1">
        <w:rPr>
          <w:rFonts w:ascii="Times New Roman" w:hAnsi="Times New Roman" w:cs="Times New Roman"/>
          <w:spacing w:val="20"/>
          <w:sz w:val="22"/>
          <w:szCs w:val="22"/>
        </w:rPr>
        <w:t>.</w:t>
      </w:r>
      <w:r w:rsidR="00944CB2" w:rsidRPr="001445C1">
        <w:rPr>
          <w:rFonts w:ascii="Times New Roman" w:hAnsi="Times New Roman" w:cs="Times New Roman"/>
          <w:spacing w:val="20"/>
          <w:sz w:val="22"/>
          <w:szCs w:val="22"/>
        </w:rPr>
        <w:t xml:space="preserve"> </w:t>
      </w:r>
    </w:p>
    <w:p w:rsidR="00D23D9B" w:rsidRDefault="00D23D9B" w:rsidP="00BA34F7">
      <w:pPr>
        <w:spacing w:before="240" w:after="240"/>
        <w:jc w:val="both"/>
        <w:rPr>
          <w:rFonts w:ascii="Times New Roman" w:hAnsi="Times New Roman" w:cs="Times New Roman"/>
          <w:spacing w:val="20"/>
          <w:sz w:val="22"/>
        </w:rPr>
      </w:pPr>
      <w:r w:rsidRPr="001445C1">
        <w:rPr>
          <w:rFonts w:ascii="Times New Roman" w:hAnsi="Times New Roman" w:cs="Times New Roman"/>
          <w:spacing w:val="20"/>
          <w:sz w:val="22"/>
        </w:rPr>
        <w:t xml:space="preserve">This Agreement is valid </w:t>
      </w:r>
      <w:r w:rsidR="00B55D24">
        <w:rPr>
          <w:rFonts w:ascii="Times New Roman" w:hAnsi="Times New Roman" w:cs="Times New Roman"/>
          <w:spacing w:val="20"/>
          <w:sz w:val="22"/>
        </w:rPr>
        <w:t xml:space="preserve">for </w:t>
      </w:r>
      <w:r w:rsidR="00B55D24" w:rsidRPr="00B55D24">
        <w:rPr>
          <w:rFonts w:ascii="Times New Roman" w:hAnsi="Times New Roman" w:cs="Times New Roman"/>
          <w:spacing w:val="20"/>
          <w:sz w:val="22"/>
        </w:rPr>
        <w:t>the entire term of our contractual relationship, unless otherwise documented</w:t>
      </w:r>
      <w:r w:rsidR="00B55D24">
        <w:rPr>
          <w:rFonts w:ascii="Times New Roman" w:hAnsi="Times New Roman" w:cs="Times New Roman"/>
          <w:spacing w:val="20"/>
          <w:sz w:val="22"/>
        </w:rPr>
        <w:t>, from</w:t>
      </w:r>
      <w:r w:rsidR="00B55D24" w:rsidRPr="00B55D24">
        <w:rPr>
          <w:rFonts w:ascii="Times New Roman" w:hAnsi="Times New Roman" w:cs="Times New Roman"/>
          <w:spacing w:val="20"/>
          <w:sz w:val="22"/>
        </w:rPr>
        <w:t xml:space="preserve"> </w:t>
      </w:r>
      <w:r w:rsidRPr="001445C1">
        <w:rPr>
          <w:rFonts w:ascii="Times New Roman" w:hAnsi="Times New Roman" w:cs="Times New Roman"/>
          <w:spacing w:val="20"/>
          <w:sz w:val="22"/>
        </w:rPr>
        <w:t xml:space="preserve">the last date on either signature below.  At that </w:t>
      </w:r>
      <w:proofErr w:type="gramStart"/>
      <w:r w:rsidRPr="001445C1">
        <w:rPr>
          <w:rFonts w:ascii="Times New Roman" w:hAnsi="Times New Roman" w:cs="Times New Roman"/>
          <w:spacing w:val="20"/>
          <w:sz w:val="22"/>
        </w:rPr>
        <w:t>time</w:t>
      </w:r>
      <w:proofErr w:type="gramEnd"/>
      <w:r w:rsidRPr="001445C1">
        <w:rPr>
          <w:rFonts w:ascii="Times New Roman" w:hAnsi="Times New Roman" w:cs="Times New Roman"/>
          <w:spacing w:val="20"/>
          <w:sz w:val="22"/>
        </w:rPr>
        <w:t xml:space="preserve"> it will be reviewed, updated if necessary, and revalidated.  This agreement </w:t>
      </w:r>
      <w:proofErr w:type="gramStart"/>
      <w:r w:rsidRPr="001445C1">
        <w:rPr>
          <w:rFonts w:ascii="Times New Roman" w:hAnsi="Times New Roman" w:cs="Times New Roman"/>
          <w:spacing w:val="20"/>
          <w:sz w:val="22"/>
        </w:rPr>
        <w:t>may be terminated</w:t>
      </w:r>
      <w:proofErr w:type="gramEnd"/>
      <w:r w:rsidRPr="001445C1">
        <w:rPr>
          <w:rFonts w:ascii="Times New Roman" w:hAnsi="Times New Roman" w:cs="Times New Roman"/>
          <w:spacing w:val="20"/>
          <w:sz w:val="22"/>
        </w:rPr>
        <w:t xml:space="preserve"> upon 30 days advanced notice by either party or in the event of a security exception that would necessitate an immediate response.</w:t>
      </w:r>
    </w:p>
    <w:p w:rsidR="005111E0" w:rsidRPr="005111E0" w:rsidRDefault="005111E0" w:rsidP="005111E0">
      <w:pPr>
        <w:spacing w:before="0" w:after="0"/>
        <w:contextualSpacing/>
        <w:rPr>
          <w:rFonts w:ascii="Times New Roman" w:eastAsia="Calibri" w:hAnsi="Times New Roman" w:cs="Times New Roman"/>
          <w:sz w:val="22"/>
          <w:szCs w:val="22"/>
        </w:rPr>
      </w:pPr>
      <w:r w:rsidRPr="005111E0">
        <w:rPr>
          <w:rFonts w:ascii="Times New Roman" w:eastAsia="Calibri" w:hAnsi="Times New Roman" w:cs="Times New Roman"/>
          <w:sz w:val="22"/>
          <w:szCs w:val="22"/>
        </w:rPr>
        <w:t>New Mexico Institute of Mining &amp;</w:t>
      </w:r>
      <w:r w:rsidRPr="005111E0">
        <w:rPr>
          <w:rFonts w:ascii="Times New Roman" w:eastAsia="Calibri" w:hAnsi="Times New Roman" w:cs="Times New Roman"/>
          <w:sz w:val="22"/>
          <w:szCs w:val="22"/>
        </w:rPr>
        <w:tab/>
      </w:r>
      <w:r>
        <w:rPr>
          <w:rFonts w:ascii="Times New Roman" w:eastAsia="Calibri" w:hAnsi="Times New Roman" w:cs="Times New Roman"/>
          <w:sz w:val="22"/>
          <w:szCs w:val="22"/>
        </w:rPr>
        <w:tab/>
      </w:r>
      <w:r>
        <w:rPr>
          <w:rFonts w:ascii="Times New Roman" w:eastAsia="Calibri" w:hAnsi="Times New Roman" w:cs="Times New Roman"/>
          <w:sz w:val="22"/>
          <w:szCs w:val="22"/>
        </w:rPr>
        <w:tab/>
        <w:t>____________________________________</w:t>
      </w:r>
      <w:r w:rsidRPr="005111E0">
        <w:rPr>
          <w:rFonts w:ascii="Times New Roman" w:eastAsia="Calibri" w:hAnsi="Times New Roman" w:cs="Times New Roman"/>
          <w:sz w:val="22"/>
          <w:szCs w:val="22"/>
        </w:rPr>
        <w:tab/>
      </w:r>
    </w:p>
    <w:p w:rsidR="005111E0" w:rsidRPr="005111E0" w:rsidRDefault="005111E0" w:rsidP="005111E0">
      <w:pPr>
        <w:spacing w:before="0" w:after="0"/>
        <w:contextualSpacing/>
        <w:rPr>
          <w:rFonts w:ascii="Times New Roman" w:eastAsia="Calibri" w:hAnsi="Times New Roman" w:cs="Times New Roman"/>
          <w:sz w:val="22"/>
          <w:szCs w:val="22"/>
        </w:rPr>
      </w:pPr>
      <w:r w:rsidRPr="005111E0">
        <w:rPr>
          <w:rFonts w:ascii="Times New Roman" w:eastAsia="Calibri" w:hAnsi="Times New Roman" w:cs="Times New Roman"/>
          <w:sz w:val="22"/>
          <w:szCs w:val="22"/>
        </w:rPr>
        <w:t>Technology</w:t>
      </w:r>
      <w:r>
        <w:rPr>
          <w:rFonts w:ascii="Times New Roman" w:eastAsia="Calibri" w:hAnsi="Times New Roman" w:cs="Times New Roman"/>
          <w:sz w:val="22"/>
          <w:szCs w:val="22"/>
        </w:rPr>
        <w:tab/>
      </w:r>
      <w:r>
        <w:rPr>
          <w:rFonts w:ascii="Times New Roman" w:eastAsia="Calibri" w:hAnsi="Times New Roman" w:cs="Times New Roman"/>
          <w:sz w:val="22"/>
          <w:szCs w:val="22"/>
        </w:rPr>
        <w:tab/>
      </w:r>
      <w:r>
        <w:rPr>
          <w:rFonts w:ascii="Times New Roman" w:eastAsia="Calibri" w:hAnsi="Times New Roman" w:cs="Times New Roman"/>
          <w:sz w:val="22"/>
          <w:szCs w:val="22"/>
        </w:rPr>
        <w:tab/>
      </w:r>
      <w:r>
        <w:rPr>
          <w:rFonts w:ascii="Times New Roman" w:eastAsia="Calibri" w:hAnsi="Times New Roman" w:cs="Times New Roman"/>
          <w:sz w:val="22"/>
          <w:szCs w:val="22"/>
        </w:rPr>
        <w:tab/>
      </w:r>
      <w:r>
        <w:rPr>
          <w:rFonts w:ascii="Times New Roman" w:eastAsia="Calibri" w:hAnsi="Times New Roman" w:cs="Times New Roman"/>
          <w:sz w:val="22"/>
          <w:szCs w:val="22"/>
        </w:rPr>
        <w:tab/>
      </w:r>
      <w:r>
        <w:rPr>
          <w:rFonts w:ascii="Times New Roman" w:eastAsia="Calibri" w:hAnsi="Times New Roman" w:cs="Times New Roman"/>
          <w:sz w:val="22"/>
          <w:szCs w:val="22"/>
        </w:rPr>
        <w:tab/>
        <w:t>Provider</w:t>
      </w:r>
    </w:p>
    <w:p w:rsidR="005111E0" w:rsidRDefault="005111E0" w:rsidP="005111E0">
      <w:pPr>
        <w:spacing w:after="0"/>
        <w:contextualSpacing/>
        <w:rPr>
          <w:rFonts w:ascii="Times New Roman" w:hAnsi="Times New Roman" w:cs="Times New Roman"/>
        </w:rPr>
      </w:pPr>
    </w:p>
    <w:p w:rsidR="00E5023A" w:rsidRPr="005111E0" w:rsidRDefault="00E5023A" w:rsidP="005111E0">
      <w:pPr>
        <w:spacing w:after="0"/>
        <w:rPr>
          <w:rFonts w:ascii="Times New Roman" w:hAnsi="Times New Roman" w:cs="Times New Roman"/>
        </w:rPr>
      </w:pPr>
      <w:r w:rsidRPr="005111E0">
        <w:rPr>
          <w:rFonts w:ascii="Times New Roman" w:hAnsi="Times New Roman" w:cs="Times New Roman"/>
        </w:rPr>
        <w:t>_______________</w:t>
      </w:r>
      <w:r w:rsidR="005111E0">
        <w:rPr>
          <w:rFonts w:ascii="Times New Roman" w:hAnsi="Times New Roman" w:cs="Times New Roman"/>
        </w:rPr>
        <w:t>____</w:t>
      </w:r>
      <w:r w:rsidRPr="005111E0">
        <w:rPr>
          <w:rFonts w:ascii="Times New Roman" w:hAnsi="Times New Roman" w:cs="Times New Roman"/>
        </w:rPr>
        <w:t>_________________</w:t>
      </w:r>
      <w:r w:rsidRPr="005111E0">
        <w:rPr>
          <w:rFonts w:ascii="Times New Roman" w:hAnsi="Times New Roman" w:cs="Times New Roman"/>
        </w:rPr>
        <w:tab/>
      </w:r>
      <w:r w:rsidRPr="005111E0">
        <w:rPr>
          <w:rFonts w:ascii="Times New Roman" w:hAnsi="Times New Roman" w:cs="Times New Roman"/>
        </w:rPr>
        <w:tab/>
        <w:t>____________________</w:t>
      </w:r>
      <w:r w:rsidR="005111E0">
        <w:rPr>
          <w:rFonts w:ascii="Times New Roman" w:hAnsi="Times New Roman" w:cs="Times New Roman"/>
        </w:rPr>
        <w:t>____</w:t>
      </w:r>
      <w:r w:rsidRPr="005111E0">
        <w:rPr>
          <w:rFonts w:ascii="Times New Roman" w:hAnsi="Times New Roman" w:cs="Times New Roman"/>
        </w:rPr>
        <w:t>________________</w:t>
      </w:r>
    </w:p>
    <w:p w:rsidR="00E5023A" w:rsidRPr="005111E0" w:rsidRDefault="00E5023A" w:rsidP="005111E0">
      <w:pPr>
        <w:spacing w:after="0"/>
        <w:rPr>
          <w:rFonts w:ascii="Times New Roman" w:hAnsi="Times New Roman" w:cs="Times New Roman"/>
        </w:rPr>
      </w:pPr>
      <w:r w:rsidRPr="004D6BAE">
        <w:rPr>
          <w:rFonts w:ascii="Times New Roman" w:hAnsi="Times New Roman" w:cs="Times New Roman"/>
          <w:sz w:val="22"/>
          <w:szCs w:val="22"/>
        </w:rPr>
        <w:t>Signature</w:t>
      </w:r>
      <w:r w:rsidRPr="005111E0">
        <w:rPr>
          <w:rFonts w:ascii="Times New Roman" w:hAnsi="Times New Roman" w:cs="Times New Roman"/>
        </w:rPr>
        <w:tab/>
      </w:r>
      <w:r w:rsidRPr="005111E0">
        <w:rPr>
          <w:rFonts w:ascii="Times New Roman" w:hAnsi="Times New Roman" w:cs="Times New Roman"/>
        </w:rPr>
        <w:tab/>
      </w:r>
      <w:r w:rsidRPr="005111E0">
        <w:rPr>
          <w:rFonts w:ascii="Times New Roman" w:hAnsi="Times New Roman" w:cs="Times New Roman"/>
        </w:rPr>
        <w:tab/>
      </w:r>
      <w:r w:rsidRPr="005111E0">
        <w:rPr>
          <w:rFonts w:ascii="Times New Roman" w:hAnsi="Times New Roman" w:cs="Times New Roman"/>
        </w:rPr>
        <w:tab/>
      </w:r>
      <w:r w:rsidRPr="005111E0">
        <w:rPr>
          <w:rFonts w:ascii="Times New Roman" w:hAnsi="Times New Roman" w:cs="Times New Roman"/>
        </w:rPr>
        <w:tab/>
      </w:r>
      <w:r w:rsidRPr="005111E0">
        <w:rPr>
          <w:rFonts w:ascii="Times New Roman" w:hAnsi="Times New Roman" w:cs="Times New Roman"/>
        </w:rPr>
        <w:tab/>
      </w:r>
      <w:proofErr w:type="spellStart"/>
      <w:r w:rsidRPr="004D6BAE">
        <w:rPr>
          <w:rFonts w:ascii="Times New Roman" w:hAnsi="Times New Roman" w:cs="Times New Roman"/>
          <w:sz w:val="22"/>
          <w:szCs w:val="22"/>
        </w:rPr>
        <w:t>Signature</w:t>
      </w:r>
      <w:proofErr w:type="spellEnd"/>
    </w:p>
    <w:p w:rsidR="00E5023A" w:rsidRPr="005111E0" w:rsidRDefault="00E5023A" w:rsidP="005111E0">
      <w:pPr>
        <w:spacing w:after="0"/>
        <w:rPr>
          <w:rFonts w:ascii="Times New Roman" w:hAnsi="Times New Roman" w:cs="Times New Roman"/>
        </w:rPr>
      </w:pPr>
      <w:r w:rsidRPr="005111E0">
        <w:rPr>
          <w:rFonts w:ascii="Times New Roman" w:hAnsi="Times New Roman" w:cs="Times New Roman"/>
        </w:rPr>
        <w:t>__________________</w:t>
      </w:r>
      <w:r w:rsidR="005111E0">
        <w:rPr>
          <w:rFonts w:ascii="Times New Roman" w:hAnsi="Times New Roman" w:cs="Times New Roman"/>
        </w:rPr>
        <w:t>__________________</w:t>
      </w:r>
      <w:r w:rsidR="005111E0">
        <w:rPr>
          <w:rFonts w:ascii="Times New Roman" w:hAnsi="Times New Roman" w:cs="Times New Roman"/>
        </w:rPr>
        <w:tab/>
      </w:r>
      <w:r w:rsidR="005111E0">
        <w:rPr>
          <w:rFonts w:ascii="Times New Roman" w:hAnsi="Times New Roman" w:cs="Times New Roman"/>
        </w:rPr>
        <w:tab/>
      </w:r>
      <w:r w:rsidRPr="005111E0">
        <w:rPr>
          <w:rFonts w:ascii="Times New Roman" w:hAnsi="Times New Roman" w:cs="Times New Roman"/>
        </w:rPr>
        <w:t>__</w:t>
      </w:r>
      <w:r w:rsidR="005111E0">
        <w:rPr>
          <w:rFonts w:ascii="Times New Roman" w:hAnsi="Times New Roman" w:cs="Times New Roman"/>
        </w:rPr>
        <w:t>____</w:t>
      </w:r>
      <w:r w:rsidRPr="005111E0">
        <w:rPr>
          <w:rFonts w:ascii="Times New Roman" w:hAnsi="Times New Roman" w:cs="Times New Roman"/>
        </w:rPr>
        <w:t>__________________________________</w:t>
      </w:r>
    </w:p>
    <w:p w:rsidR="00E5023A" w:rsidRPr="005111E0" w:rsidRDefault="00E5023A" w:rsidP="005111E0">
      <w:pPr>
        <w:spacing w:after="0"/>
        <w:rPr>
          <w:rFonts w:ascii="Times New Roman" w:hAnsi="Times New Roman" w:cs="Times New Roman"/>
        </w:rPr>
      </w:pPr>
      <w:r w:rsidRPr="004D6BAE">
        <w:rPr>
          <w:rFonts w:ascii="Times New Roman" w:hAnsi="Times New Roman" w:cs="Times New Roman"/>
          <w:sz w:val="22"/>
          <w:szCs w:val="22"/>
        </w:rPr>
        <w:t>Name</w:t>
      </w:r>
      <w:r w:rsidRPr="004D6BAE">
        <w:rPr>
          <w:rFonts w:ascii="Times New Roman" w:hAnsi="Times New Roman" w:cs="Times New Roman"/>
          <w:sz w:val="22"/>
          <w:szCs w:val="22"/>
        </w:rPr>
        <w:tab/>
      </w:r>
      <w:r w:rsidRPr="005111E0">
        <w:rPr>
          <w:rFonts w:ascii="Times New Roman" w:hAnsi="Times New Roman" w:cs="Times New Roman"/>
        </w:rPr>
        <w:tab/>
      </w:r>
      <w:r w:rsidRPr="005111E0">
        <w:rPr>
          <w:rFonts w:ascii="Times New Roman" w:hAnsi="Times New Roman" w:cs="Times New Roman"/>
        </w:rPr>
        <w:tab/>
      </w:r>
      <w:r w:rsidRPr="005111E0">
        <w:rPr>
          <w:rFonts w:ascii="Times New Roman" w:hAnsi="Times New Roman" w:cs="Times New Roman"/>
        </w:rPr>
        <w:tab/>
      </w:r>
      <w:r w:rsidRPr="005111E0">
        <w:rPr>
          <w:rFonts w:ascii="Times New Roman" w:hAnsi="Times New Roman" w:cs="Times New Roman"/>
        </w:rPr>
        <w:tab/>
      </w:r>
      <w:r w:rsidRPr="005111E0">
        <w:rPr>
          <w:rFonts w:ascii="Times New Roman" w:hAnsi="Times New Roman" w:cs="Times New Roman"/>
        </w:rPr>
        <w:tab/>
      </w:r>
      <w:r w:rsidRPr="005111E0">
        <w:rPr>
          <w:rFonts w:ascii="Times New Roman" w:hAnsi="Times New Roman" w:cs="Times New Roman"/>
        </w:rPr>
        <w:tab/>
      </w:r>
      <w:proofErr w:type="spellStart"/>
      <w:r w:rsidRPr="004D6BAE">
        <w:rPr>
          <w:rFonts w:ascii="Times New Roman" w:hAnsi="Times New Roman" w:cs="Times New Roman"/>
          <w:sz w:val="22"/>
          <w:szCs w:val="22"/>
        </w:rPr>
        <w:t>Name</w:t>
      </w:r>
      <w:proofErr w:type="spellEnd"/>
    </w:p>
    <w:p w:rsidR="00E5023A" w:rsidRPr="005111E0" w:rsidRDefault="00E5023A" w:rsidP="005111E0">
      <w:pPr>
        <w:spacing w:after="0"/>
        <w:rPr>
          <w:rFonts w:ascii="Times New Roman" w:hAnsi="Times New Roman" w:cs="Times New Roman"/>
        </w:rPr>
      </w:pPr>
      <w:r w:rsidRPr="005111E0">
        <w:rPr>
          <w:rFonts w:ascii="Times New Roman" w:hAnsi="Times New Roman" w:cs="Times New Roman"/>
        </w:rPr>
        <w:t>______________________</w:t>
      </w:r>
      <w:r w:rsidR="005111E0">
        <w:rPr>
          <w:rFonts w:ascii="Times New Roman" w:hAnsi="Times New Roman" w:cs="Times New Roman"/>
        </w:rPr>
        <w:t>______________</w:t>
      </w:r>
      <w:r w:rsidR="005111E0">
        <w:rPr>
          <w:rFonts w:ascii="Times New Roman" w:hAnsi="Times New Roman" w:cs="Times New Roman"/>
        </w:rPr>
        <w:tab/>
      </w:r>
      <w:r w:rsidR="005111E0">
        <w:rPr>
          <w:rFonts w:ascii="Times New Roman" w:hAnsi="Times New Roman" w:cs="Times New Roman"/>
        </w:rPr>
        <w:tab/>
      </w:r>
      <w:r w:rsidRPr="005111E0">
        <w:rPr>
          <w:rFonts w:ascii="Times New Roman" w:hAnsi="Times New Roman" w:cs="Times New Roman"/>
        </w:rPr>
        <w:t>__</w:t>
      </w:r>
      <w:r w:rsidR="005111E0">
        <w:rPr>
          <w:rFonts w:ascii="Times New Roman" w:hAnsi="Times New Roman" w:cs="Times New Roman"/>
        </w:rPr>
        <w:t>____</w:t>
      </w:r>
      <w:r w:rsidRPr="005111E0">
        <w:rPr>
          <w:rFonts w:ascii="Times New Roman" w:hAnsi="Times New Roman" w:cs="Times New Roman"/>
        </w:rPr>
        <w:t>__________________________________</w:t>
      </w:r>
    </w:p>
    <w:p w:rsidR="00E5023A" w:rsidRPr="005111E0" w:rsidRDefault="00E5023A" w:rsidP="005111E0">
      <w:pPr>
        <w:spacing w:after="0"/>
        <w:rPr>
          <w:rFonts w:ascii="Times New Roman" w:hAnsi="Times New Roman" w:cs="Times New Roman"/>
        </w:rPr>
      </w:pPr>
      <w:r w:rsidRPr="004D6BAE">
        <w:rPr>
          <w:rFonts w:ascii="Times New Roman" w:hAnsi="Times New Roman" w:cs="Times New Roman"/>
          <w:sz w:val="22"/>
          <w:szCs w:val="22"/>
        </w:rPr>
        <w:t>Title</w:t>
      </w:r>
      <w:r w:rsidRPr="005111E0">
        <w:rPr>
          <w:rFonts w:ascii="Times New Roman" w:hAnsi="Times New Roman" w:cs="Times New Roman"/>
        </w:rPr>
        <w:tab/>
      </w:r>
      <w:r w:rsidRPr="005111E0">
        <w:rPr>
          <w:rFonts w:ascii="Times New Roman" w:hAnsi="Times New Roman" w:cs="Times New Roman"/>
        </w:rPr>
        <w:tab/>
      </w:r>
      <w:r w:rsidRPr="005111E0">
        <w:rPr>
          <w:rFonts w:ascii="Times New Roman" w:hAnsi="Times New Roman" w:cs="Times New Roman"/>
        </w:rPr>
        <w:tab/>
      </w:r>
      <w:r w:rsidRPr="005111E0">
        <w:rPr>
          <w:rFonts w:ascii="Times New Roman" w:hAnsi="Times New Roman" w:cs="Times New Roman"/>
        </w:rPr>
        <w:tab/>
      </w:r>
      <w:r w:rsidRPr="005111E0">
        <w:rPr>
          <w:rFonts w:ascii="Times New Roman" w:hAnsi="Times New Roman" w:cs="Times New Roman"/>
        </w:rPr>
        <w:tab/>
      </w:r>
      <w:r w:rsidRPr="005111E0">
        <w:rPr>
          <w:rFonts w:ascii="Times New Roman" w:hAnsi="Times New Roman" w:cs="Times New Roman"/>
        </w:rPr>
        <w:tab/>
      </w:r>
      <w:r w:rsidRPr="005111E0">
        <w:rPr>
          <w:rFonts w:ascii="Times New Roman" w:hAnsi="Times New Roman" w:cs="Times New Roman"/>
        </w:rPr>
        <w:tab/>
      </w:r>
      <w:proofErr w:type="spellStart"/>
      <w:r w:rsidRPr="004D6BAE">
        <w:rPr>
          <w:rFonts w:ascii="Times New Roman" w:hAnsi="Times New Roman" w:cs="Times New Roman"/>
          <w:sz w:val="22"/>
          <w:szCs w:val="22"/>
        </w:rPr>
        <w:t>Title</w:t>
      </w:r>
      <w:proofErr w:type="spellEnd"/>
    </w:p>
    <w:p w:rsidR="00E5023A" w:rsidRPr="005111E0" w:rsidRDefault="00E5023A" w:rsidP="00E5023A">
      <w:pPr>
        <w:rPr>
          <w:rFonts w:ascii="Times New Roman" w:hAnsi="Times New Roman" w:cs="Times New Roman"/>
        </w:rPr>
      </w:pPr>
    </w:p>
    <w:p w:rsidR="00E5023A" w:rsidRPr="00E5023A" w:rsidRDefault="00E5023A" w:rsidP="00E5023A">
      <w:r>
        <w:tab/>
      </w:r>
      <w:r>
        <w:tab/>
      </w:r>
      <w:r>
        <w:tab/>
      </w:r>
      <w:r>
        <w:tab/>
      </w:r>
      <w:r>
        <w:tab/>
      </w:r>
      <w:r>
        <w:tab/>
      </w:r>
      <w:r>
        <w:tab/>
      </w:r>
    </w:p>
    <w:tbl>
      <w:tblPr>
        <w:tblW w:w="5000" w:type="pct"/>
        <w:jc w:val="center"/>
        <w:tblCellMar>
          <w:top w:w="15" w:type="dxa"/>
          <w:left w:w="15" w:type="dxa"/>
          <w:bottom w:w="15" w:type="dxa"/>
          <w:right w:w="15" w:type="dxa"/>
        </w:tblCellMar>
        <w:tblLook w:val="04A0" w:firstRow="1" w:lastRow="0" w:firstColumn="1" w:lastColumn="0" w:noHBand="0" w:noVBand="1"/>
      </w:tblPr>
      <w:tblGrid>
        <w:gridCol w:w="5401"/>
        <w:gridCol w:w="3959"/>
      </w:tblGrid>
      <w:tr w:rsidR="00EB5BB0" w:rsidRPr="00E5023A" w:rsidTr="00E5023A">
        <w:trPr>
          <w:trHeight w:val="638"/>
          <w:jc w:val="center"/>
        </w:trPr>
        <w:tc>
          <w:tcPr>
            <w:tcW w:w="2885" w:type="pct"/>
            <w:tcMar>
              <w:top w:w="0" w:type="dxa"/>
              <w:left w:w="115" w:type="dxa"/>
              <w:bottom w:w="0" w:type="dxa"/>
              <w:right w:w="115" w:type="dxa"/>
            </w:tcMar>
          </w:tcPr>
          <w:p w:rsidR="00EB5BB0" w:rsidRPr="00E5023A" w:rsidRDefault="00EB5BB0" w:rsidP="00E5023A"/>
        </w:tc>
        <w:tc>
          <w:tcPr>
            <w:tcW w:w="2115" w:type="pct"/>
            <w:tcMar>
              <w:top w:w="0" w:type="dxa"/>
              <w:left w:w="115" w:type="dxa"/>
              <w:bottom w:w="0" w:type="dxa"/>
              <w:right w:w="115" w:type="dxa"/>
            </w:tcMar>
          </w:tcPr>
          <w:p w:rsidR="00E60DEB" w:rsidRPr="00E5023A" w:rsidRDefault="00E60DEB" w:rsidP="00E5023A"/>
        </w:tc>
      </w:tr>
      <w:tr w:rsidR="00EB5BB0" w:rsidRPr="001445C1" w:rsidTr="00B55D24">
        <w:trPr>
          <w:jc w:val="center"/>
        </w:trPr>
        <w:tc>
          <w:tcPr>
            <w:tcW w:w="2885" w:type="pct"/>
            <w:tcMar>
              <w:top w:w="0" w:type="dxa"/>
              <w:left w:w="115" w:type="dxa"/>
              <w:bottom w:w="0" w:type="dxa"/>
              <w:right w:w="115" w:type="dxa"/>
            </w:tcMar>
          </w:tcPr>
          <w:p w:rsidR="00EB5BB0" w:rsidRPr="001445C1" w:rsidRDefault="00EB5BB0" w:rsidP="00EB5BB0">
            <w:pPr>
              <w:spacing w:before="0" w:after="200"/>
              <w:rPr>
                <w:rFonts w:ascii="Times New Roman" w:eastAsia="Times New Roman" w:hAnsi="Times New Roman" w:cs="Times New Roman"/>
                <w:sz w:val="24"/>
                <w:szCs w:val="24"/>
              </w:rPr>
            </w:pPr>
          </w:p>
        </w:tc>
        <w:tc>
          <w:tcPr>
            <w:tcW w:w="2115" w:type="pct"/>
            <w:tcMar>
              <w:top w:w="0" w:type="dxa"/>
              <w:left w:w="115" w:type="dxa"/>
              <w:bottom w:w="0" w:type="dxa"/>
              <w:right w:w="115" w:type="dxa"/>
            </w:tcMar>
          </w:tcPr>
          <w:p w:rsidR="00EB5BB0" w:rsidRPr="001445C1" w:rsidRDefault="00EB5BB0" w:rsidP="00EB5BB0">
            <w:pPr>
              <w:spacing w:before="0" w:after="200"/>
              <w:rPr>
                <w:rFonts w:ascii="Times New Roman" w:eastAsia="Times New Roman" w:hAnsi="Times New Roman" w:cs="Times New Roman"/>
                <w:sz w:val="24"/>
                <w:szCs w:val="24"/>
              </w:rPr>
            </w:pPr>
          </w:p>
        </w:tc>
      </w:tr>
    </w:tbl>
    <w:p w:rsidR="000C7D21" w:rsidRPr="001445C1" w:rsidRDefault="000C7D21" w:rsidP="00601648">
      <w:pPr>
        <w:spacing w:before="240" w:after="240"/>
        <w:jc w:val="both"/>
        <w:rPr>
          <w:rFonts w:ascii="Times New Roman" w:hAnsi="Times New Roman" w:cs="Times New Roman"/>
        </w:rPr>
      </w:pPr>
    </w:p>
    <w:p w:rsidR="002D7A2D" w:rsidRPr="001445C1" w:rsidRDefault="002D7A2D" w:rsidP="00601648">
      <w:pPr>
        <w:spacing w:before="240" w:after="240"/>
        <w:jc w:val="both"/>
        <w:rPr>
          <w:rFonts w:ascii="Times New Roman" w:hAnsi="Times New Roman" w:cs="Times New Roman"/>
        </w:rPr>
      </w:pPr>
    </w:p>
    <w:sectPr w:rsidR="002D7A2D" w:rsidRPr="001445C1">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8BE" w:rsidRDefault="00E428BE" w:rsidP="00DC10BF">
      <w:pPr>
        <w:spacing w:before="0" w:after="0"/>
      </w:pPr>
      <w:r>
        <w:separator/>
      </w:r>
    </w:p>
  </w:endnote>
  <w:endnote w:type="continuationSeparator" w:id="0">
    <w:p w:rsidR="00E428BE" w:rsidRDefault="00E428BE" w:rsidP="00DC10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0BF" w:rsidRDefault="00DC10BF" w:rsidP="00DC10BF">
    <w:pPr>
      <w:pStyle w:val="NormalWeb"/>
      <w:spacing w:before="0" w:beforeAutospacing="0" w:after="0" w:afterAutospacing="0"/>
      <w:rPr>
        <w:rFonts w:ascii="Calibri" w:hAnsi="Calibri" w:cs="Calibri"/>
        <w:color w:val="000000"/>
        <w:sz w:val="16"/>
        <w:szCs w:val="16"/>
      </w:rPr>
    </w:pPr>
    <w:r>
      <w:rPr>
        <w:rFonts w:ascii="Calibri" w:hAnsi="Calibri" w:cs="Calibri"/>
        <w:color w:val="000000"/>
        <w:sz w:val="16"/>
        <w:szCs w:val="16"/>
      </w:rPr>
      <w:t>New Mexico Institute of Mining and Technology</w:t>
    </w:r>
  </w:p>
  <w:p w:rsidR="00DC10BF" w:rsidRDefault="000F7C24" w:rsidP="00DC10BF">
    <w:pPr>
      <w:pStyle w:val="NormalWeb"/>
      <w:spacing w:before="0" w:beforeAutospacing="0" w:after="0" w:afterAutospacing="0"/>
    </w:pPr>
    <w:r>
      <w:rPr>
        <w:rStyle w:val="apple-tab-span"/>
        <w:rFonts w:ascii="Calibri" w:hAnsi="Calibri" w:cs="Calibri"/>
        <w:sz w:val="16"/>
        <w:szCs w:val="16"/>
      </w:rPr>
      <w:t>Information Technology &amp; Communications</w:t>
    </w:r>
    <w:r w:rsidR="00DC10BF">
      <w:rPr>
        <w:rStyle w:val="apple-tab-span"/>
        <w:rFonts w:ascii="Calibri" w:hAnsi="Calibri" w:cs="Calibri"/>
        <w:sz w:val="16"/>
        <w:szCs w:val="16"/>
      </w:rPr>
      <w:tab/>
    </w:r>
    <w:r w:rsidR="00DC10BF">
      <w:rPr>
        <w:rStyle w:val="apple-tab-span"/>
        <w:rFonts w:ascii="Calibri" w:eastAsiaTheme="majorEastAsia" w:hAnsi="Calibri" w:cs="Calibri"/>
        <w:color w:val="000000"/>
        <w:sz w:val="16"/>
        <w:szCs w:val="16"/>
      </w:rPr>
      <w:tab/>
    </w:r>
    <w:r w:rsidR="00DC10BF">
      <w:rPr>
        <w:rStyle w:val="apple-tab-span"/>
        <w:rFonts w:ascii="Calibri" w:eastAsiaTheme="majorEastAsia" w:hAnsi="Calibri" w:cs="Calibri"/>
        <w:color w:val="000000"/>
        <w:sz w:val="16"/>
        <w:szCs w:val="16"/>
      </w:rPr>
      <w:tab/>
    </w:r>
    <w:r w:rsidR="00DC10BF">
      <w:rPr>
        <w:rStyle w:val="apple-tab-span"/>
        <w:rFonts w:ascii="Calibri" w:eastAsiaTheme="majorEastAsia" w:hAnsi="Calibri" w:cs="Calibri"/>
        <w:color w:val="000000"/>
        <w:sz w:val="16"/>
        <w:szCs w:val="16"/>
      </w:rPr>
      <w:tab/>
    </w:r>
    <w:r w:rsidR="00DC10BF">
      <w:rPr>
        <w:rStyle w:val="apple-tab-span"/>
        <w:rFonts w:ascii="Calibri" w:eastAsiaTheme="majorEastAsia" w:hAnsi="Calibri" w:cs="Calibri"/>
        <w:color w:val="000000"/>
        <w:sz w:val="16"/>
        <w:szCs w:val="16"/>
      </w:rPr>
      <w:tab/>
    </w:r>
    <w:r w:rsidR="00DC10BF">
      <w:rPr>
        <w:rStyle w:val="apple-tab-span"/>
        <w:rFonts w:ascii="Calibri" w:eastAsiaTheme="majorEastAsia" w:hAnsi="Calibri" w:cs="Calibri"/>
        <w:color w:val="000000"/>
        <w:sz w:val="16"/>
        <w:szCs w:val="16"/>
      </w:rPr>
      <w:tab/>
    </w:r>
    <w:r w:rsidR="00DC10BF">
      <w:rPr>
        <w:rStyle w:val="apple-tab-span"/>
        <w:rFonts w:ascii="Calibri" w:eastAsiaTheme="majorEastAsia" w:hAnsi="Calibri" w:cs="Calibri"/>
        <w:color w:val="000000"/>
        <w:sz w:val="16"/>
        <w:szCs w:val="16"/>
      </w:rPr>
      <w:tab/>
    </w:r>
    <w:r w:rsidR="00DC10BF">
      <w:rPr>
        <w:rStyle w:val="apple-tab-span"/>
        <w:rFonts w:ascii="Calibri" w:eastAsiaTheme="majorEastAsia" w:hAnsi="Calibri" w:cs="Calibri"/>
        <w:color w:val="000000"/>
        <w:sz w:val="16"/>
        <w:szCs w:val="16"/>
      </w:rPr>
      <w:tab/>
    </w:r>
    <w:r w:rsidR="00DC10BF">
      <w:rPr>
        <w:rStyle w:val="apple-tab-span"/>
        <w:rFonts w:ascii="Calibri" w:eastAsiaTheme="majorEastAsia" w:hAnsi="Calibri" w:cs="Calibri"/>
        <w:color w:val="000000"/>
        <w:sz w:val="16"/>
        <w:szCs w:val="16"/>
      </w:rPr>
      <w:tab/>
    </w:r>
    <w:r w:rsidR="00DC10BF">
      <w:rPr>
        <w:rFonts w:ascii="Calibri" w:hAnsi="Calibri" w:cs="Calibri"/>
        <w:color w:val="000000"/>
        <w:sz w:val="16"/>
        <w:szCs w:val="16"/>
      </w:rPr>
      <w:t>9</w:t>
    </w:r>
  </w:p>
  <w:p w:rsidR="00DC10BF" w:rsidRDefault="00293867" w:rsidP="00DC10BF">
    <w:pPr>
      <w:pStyle w:val="NormalWeb"/>
      <w:spacing w:before="0" w:beforeAutospacing="0" w:after="0" w:afterAutospacing="0"/>
    </w:pPr>
    <w:r>
      <w:rPr>
        <w:rFonts w:ascii="Calibri" w:hAnsi="Calibri" w:cs="Calibri"/>
        <w:color w:val="000000"/>
        <w:sz w:val="16"/>
        <w:szCs w:val="16"/>
      </w:rPr>
      <w:t>Version 1</w:t>
    </w:r>
  </w:p>
  <w:p w:rsidR="00DC10BF" w:rsidRDefault="00DC1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8BE" w:rsidRDefault="00E428BE" w:rsidP="00DC10BF">
      <w:pPr>
        <w:spacing w:before="0" w:after="0"/>
      </w:pPr>
      <w:r>
        <w:separator/>
      </w:r>
    </w:p>
  </w:footnote>
  <w:footnote w:type="continuationSeparator" w:id="0">
    <w:p w:rsidR="00E428BE" w:rsidRDefault="00E428BE" w:rsidP="00DC10B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50559"/>
    <w:multiLevelType w:val="hybridMultilevel"/>
    <w:tmpl w:val="BCE8BCEA"/>
    <w:lvl w:ilvl="0" w:tplc="AD58867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0055C"/>
    <w:multiLevelType w:val="hybridMultilevel"/>
    <w:tmpl w:val="6346100C"/>
    <w:lvl w:ilvl="0" w:tplc="FF3EB52C">
      <w:start w:val="1"/>
      <w:numFmt w:val="decimal"/>
      <w:pStyle w:val="Heading1"/>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4B94FFC"/>
    <w:multiLevelType w:val="hybridMultilevel"/>
    <w:tmpl w:val="8F868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E23DF3"/>
    <w:multiLevelType w:val="hybridMultilevel"/>
    <w:tmpl w:val="27EE455A"/>
    <w:lvl w:ilvl="0" w:tplc="F7366A0E">
      <w:start w:val="1"/>
      <w:numFmt w:val="lowerLetter"/>
      <w:pStyle w:val="Heading3"/>
      <w:lvlText w:val="(%1)"/>
      <w:lvlJc w:val="left"/>
      <w:pPr>
        <w:ind w:left="1080" w:hanging="360"/>
      </w:pPr>
      <w:rPr>
        <w:rFonts w:ascii="Arial Black" w:hAnsi="Arial Black" w:hint="default"/>
        <w:b w:val="0"/>
        <w:i w:val="0"/>
        <w:spacing w:val="20"/>
        <w:sz w:val="22"/>
      </w:rPr>
    </w:lvl>
    <w:lvl w:ilvl="1" w:tplc="B8F41F7E">
      <w:start w:val="1"/>
      <w:numFmt w:val="lowerLetter"/>
      <w:lvlText w:val="(%2)"/>
      <w:lvlJc w:val="left"/>
      <w:pPr>
        <w:ind w:left="1800" w:hanging="360"/>
      </w:pPr>
      <w:rPr>
        <w:rFonts w:ascii="Arial Black" w:hAnsi="Arial Black" w:hint="default"/>
        <w:b w:val="0"/>
        <w:i w:val="0"/>
        <w:spacing w:val="20"/>
        <w:sz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FA5A59"/>
    <w:multiLevelType w:val="hybridMultilevel"/>
    <w:tmpl w:val="4D6A2EB8"/>
    <w:lvl w:ilvl="0" w:tplc="CCDC8782">
      <w:start w:val="1"/>
      <w:numFmt w:val="upperRoman"/>
      <w:pStyle w:val="CLIN-TO"/>
      <w:lvlText w:val="(%1)"/>
      <w:lvlJc w:val="left"/>
      <w:pPr>
        <w:ind w:left="720" w:hanging="360"/>
      </w:pPr>
      <w:rPr>
        <w:rFonts w:ascii="Arial Black" w:hAnsi="Arial Black"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012B6B"/>
    <w:multiLevelType w:val="hybridMultilevel"/>
    <w:tmpl w:val="D996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2852B9"/>
    <w:multiLevelType w:val="hybridMultilevel"/>
    <w:tmpl w:val="7758D092"/>
    <w:lvl w:ilvl="0" w:tplc="2F985C66">
      <w:start w:val="1"/>
      <w:numFmt w:val="upperLetter"/>
      <w:pStyle w:val="Heading2"/>
      <w:lvlText w:val="(%1)"/>
      <w:lvlJc w:val="left"/>
      <w:pPr>
        <w:ind w:left="360" w:hanging="360"/>
      </w:pPr>
      <w:rPr>
        <w:rFonts w:ascii="Arial Black" w:hAnsi="Arial Black"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35638D6"/>
    <w:multiLevelType w:val="hybridMultilevel"/>
    <w:tmpl w:val="78409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44BBE"/>
    <w:multiLevelType w:val="multilevel"/>
    <w:tmpl w:val="D8724A16"/>
    <w:lvl w:ilvl="0">
      <w:start w:val="1"/>
      <w:numFmt w:val="decimal"/>
      <w:pStyle w:val="Bullet1"/>
      <w:lvlText w:val="%1."/>
      <w:lvlJc w:val="left"/>
      <w:pPr>
        <w:ind w:left="360" w:hanging="360"/>
      </w:pPr>
    </w:lvl>
    <w:lvl w:ilvl="1">
      <w:start w:val="1"/>
      <w:numFmt w:val="decimal"/>
      <w:pStyle w:val="Bulle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6550D3A"/>
    <w:multiLevelType w:val="hybridMultilevel"/>
    <w:tmpl w:val="2F74BB10"/>
    <w:lvl w:ilvl="0" w:tplc="AD58867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4C1CB1"/>
    <w:multiLevelType w:val="hybridMultilevel"/>
    <w:tmpl w:val="D5688D58"/>
    <w:lvl w:ilvl="0" w:tplc="AD58867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4"/>
  </w:num>
  <w:num w:numId="5">
    <w:abstractNumId w:val="3"/>
  </w:num>
  <w:num w:numId="6">
    <w:abstractNumId w:val="3"/>
    <w:lvlOverride w:ilvl="0">
      <w:startOverride w:val="1"/>
    </w:lvlOverride>
  </w:num>
  <w:num w:numId="7">
    <w:abstractNumId w:val="4"/>
    <w:lvlOverride w:ilvl="0">
      <w:startOverride w:val="1"/>
    </w:lvlOverride>
  </w:num>
  <w:num w:numId="8">
    <w:abstractNumId w:val="4"/>
    <w:lvlOverride w:ilvl="0">
      <w:startOverride w:val="1"/>
    </w:lvlOverride>
  </w:num>
  <w:num w:numId="9">
    <w:abstractNumId w:val="3"/>
    <w:lvlOverride w:ilvl="0">
      <w:startOverride w:val="1"/>
    </w:lvlOverride>
  </w:num>
  <w:num w:numId="10">
    <w:abstractNumId w:val="4"/>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5"/>
  </w:num>
  <w:num w:numId="19">
    <w:abstractNumId w:val="7"/>
  </w:num>
  <w:num w:numId="20">
    <w:abstractNumId w:val="2"/>
  </w:num>
  <w:num w:numId="21">
    <w:abstractNumId w:val="9"/>
  </w:num>
  <w:num w:numId="22">
    <w:abstractNumId w:val="0"/>
  </w:num>
  <w:num w:numId="23">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A2D"/>
    <w:rsid w:val="0000370D"/>
    <w:rsid w:val="00062377"/>
    <w:rsid w:val="00065044"/>
    <w:rsid w:val="00073A4C"/>
    <w:rsid w:val="000B1FD3"/>
    <w:rsid w:val="000C7D21"/>
    <w:rsid w:val="000D5644"/>
    <w:rsid w:val="000E07F9"/>
    <w:rsid w:val="000E7204"/>
    <w:rsid w:val="000F4380"/>
    <w:rsid w:val="000F7C24"/>
    <w:rsid w:val="00111C90"/>
    <w:rsid w:val="001357DD"/>
    <w:rsid w:val="001445C1"/>
    <w:rsid w:val="0015773A"/>
    <w:rsid w:val="001A3BF4"/>
    <w:rsid w:val="001D0E11"/>
    <w:rsid w:val="002011A4"/>
    <w:rsid w:val="002013F7"/>
    <w:rsid w:val="00293867"/>
    <w:rsid w:val="00294EEB"/>
    <w:rsid w:val="002A46BB"/>
    <w:rsid w:val="002B0AE8"/>
    <w:rsid w:val="002D1B53"/>
    <w:rsid w:val="002D7A2D"/>
    <w:rsid w:val="002F6739"/>
    <w:rsid w:val="00313BF0"/>
    <w:rsid w:val="00327566"/>
    <w:rsid w:val="003B5A5B"/>
    <w:rsid w:val="003E4815"/>
    <w:rsid w:val="003F0B2E"/>
    <w:rsid w:val="003F42CE"/>
    <w:rsid w:val="00417D4A"/>
    <w:rsid w:val="00445A20"/>
    <w:rsid w:val="0047586E"/>
    <w:rsid w:val="0049285A"/>
    <w:rsid w:val="004C26F0"/>
    <w:rsid w:val="004C75E5"/>
    <w:rsid w:val="004D5916"/>
    <w:rsid w:val="004D6BAE"/>
    <w:rsid w:val="005111E0"/>
    <w:rsid w:val="0052071C"/>
    <w:rsid w:val="00547123"/>
    <w:rsid w:val="0055211D"/>
    <w:rsid w:val="00552811"/>
    <w:rsid w:val="0058395D"/>
    <w:rsid w:val="005A263E"/>
    <w:rsid w:val="005A5778"/>
    <w:rsid w:val="00601648"/>
    <w:rsid w:val="006327D5"/>
    <w:rsid w:val="00636202"/>
    <w:rsid w:val="006404BC"/>
    <w:rsid w:val="006A61BB"/>
    <w:rsid w:val="006C5ADE"/>
    <w:rsid w:val="007415AB"/>
    <w:rsid w:val="00754AD0"/>
    <w:rsid w:val="007611FD"/>
    <w:rsid w:val="00793189"/>
    <w:rsid w:val="007A76A1"/>
    <w:rsid w:val="007F7444"/>
    <w:rsid w:val="008177F3"/>
    <w:rsid w:val="00833E21"/>
    <w:rsid w:val="008644C0"/>
    <w:rsid w:val="00887F9A"/>
    <w:rsid w:val="008D65F9"/>
    <w:rsid w:val="008F331F"/>
    <w:rsid w:val="008F451B"/>
    <w:rsid w:val="00944CB2"/>
    <w:rsid w:val="00962C5B"/>
    <w:rsid w:val="0097057C"/>
    <w:rsid w:val="0099247F"/>
    <w:rsid w:val="009A51AB"/>
    <w:rsid w:val="009A639D"/>
    <w:rsid w:val="009B3293"/>
    <w:rsid w:val="009C2167"/>
    <w:rsid w:val="00A04E6C"/>
    <w:rsid w:val="00A14972"/>
    <w:rsid w:val="00A372DB"/>
    <w:rsid w:val="00A37FFB"/>
    <w:rsid w:val="00A40647"/>
    <w:rsid w:val="00A648BA"/>
    <w:rsid w:val="00AC203F"/>
    <w:rsid w:val="00AD4A25"/>
    <w:rsid w:val="00B2616E"/>
    <w:rsid w:val="00B55D24"/>
    <w:rsid w:val="00B717DB"/>
    <w:rsid w:val="00B719CC"/>
    <w:rsid w:val="00B82D38"/>
    <w:rsid w:val="00BA34F7"/>
    <w:rsid w:val="00BA7C09"/>
    <w:rsid w:val="00BB4E2C"/>
    <w:rsid w:val="00BC076B"/>
    <w:rsid w:val="00BC2DAC"/>
    <w:rsid w:val="00BD51D8"/>
    <w:rsid w:val="00BE72A4"/>
    <w:rsid w:val="00BE73C7"/>
    <w:rsid w:val="00BF233D"/>
    <w:rsid w:val="00C02A8A"/>
    <w:rsid w:val="00C2288D"/>
    <w:rsid w:val="00C55A5B"/>
    <w:rsid w:val="00CC52A6"/>
    <w:rsid w:val="00D11E5D"/>
    <w:rsid w:val="00D23D9B"/>
    <w:rsid w:val="00D3303C"/>
    <w:rsid w:val="00DC10BF"/>
    <w:rsid w:val="00DD55D4"/>
    <w:rsid w:val="00E05214"/>
    <w:rsid w:val="00E328C8"/>
    <w:rsid w:val="00E428BE"/>
    <w:rsid w:val="00E5023A"/>
    <w:rsid w:val="00E60DEB"/>
    <w:rsid w:val="00E62180"/>
    <w:rsid w:val="00E76648"/>
    <w:rsid w:val="00E945BA"/>
    <w:rsid w:val="00E959A2"/>
    <w:rsid w:val="00EA0E79"/>
    <w:rsid w:val="00EB5BB0"/>
    <w:rsid w:val="00F20A02"/>
    <w:rsid w:val="00FA7632"/>
    <w:rsid w:val="00FB4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31330B-6DD1-43EA-A5BE-891D46A6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6CB"/>
  </w:style>
  <w:style w:type="paragraph" w:styleId="Heading1">
    <w:name w:val="heading 1"/>
    <w:basedOn w:val="ListParagraph"/>
    <w:next w:val="Normal"/>
    <w:link w:val="Heading1Char"/>
    <w:qFormat/>
    <w:rsid w:val="000F4380"/>
    <w:pPr>
      <w:numPr>
        <w:numId w:val="2"/>
      </w:numPr>
      <w:spacing w:before="240" w:after="240"/>
      <w:outlineLvl w:val="0"/>
    </w:pPr>
    <w:rPr>
      <w:rFonts w:ascii="Arial Black" w:eastAsia="Times New Roman" w:hAnsi="Arial Black"/>
      <w:bCs/>
      <w:color w:val="000000"/>
      <w:spacing w:val="20"/>
      <w:sz w:val="22"/>
      <w:szCs w:val="22"/>
    </w:rPr>
  </w:style>
  <w:style w:type="paragraph" w:styleId="Heading2">
    <w:name w:val="heading 2"/>
    <w:basedOn w:val="ListParagraph"/>
    <w:next w:val="Normal"/>
    <w:link w:val="Heading2Char"/>
    <w:unhideWhenUsed/>
    <w:qFormat/>
    <w:rsid w:val="0049285A"/>
    <w:pPr>
      <w:numPr>
        <w:numId w:val="3"/>
      </w:numPr>
      <w:spacing w:before="240" w:after="240"/>
      <w:ind w:left="720" w:hanging="720"/>
      <w:contextualSpacing w:val="0"/>
      <w:jc w:val="both"/>
      <w:outlineLvl w:val="1"/>
    </w:pPr>
    <w:rPr>
      <w:rFonts w:eastAsia="Times New Roman"/>
      <w:b/>
      <w:bCs/>
      <w:color w:val="000000"/>
      <w:spacing w:val="20"/>
      <w:sz w:val="22"/>
      <w:szCs w:val="22"/>
    </w:rPr>
  </w:style>
  <w:style w:type="paragraph" w:styleId="Heading3">
    <w:name w:val="heading 3"/>
    <w:basedOn w:val="CLIN-TO"/>
    <w:next w:val="Normal"/>
    <w:link w:val="Heading3Char"/>
    <w:unhideWhenUsed/>
    <w:qFormat/>
    <w:rsid w:val="0049285A"/>
    <w:pPr>
      <w:numPr>
        <w:numId w:val="5"/>
      </w:numPr>
      <w:ind w:left="1440" w:hanging="720"/>
      <w:jc w:val="both"/>
      <w:outlineLvl w:val="2"/>
    </w:pPr>
  </w:style>
  <w:style w:type="paragraph" w:styleId="Heading4">
    <w:name w:val="heading 4"/>
    <w:next w:val="Normal"/>
    <w:link w:val="Heading4Char"/>
    <w:qFormat/>
    <w:rsid w:val="002364DB"/>
    <w:pPr>
      <w:keepNext/>
      <w:tabs>
        <w:tab w:val="num" w:pos="864"/>
        <w:tab w:val="left" w:pos="1584"/>
      </w:tabs>
      <w:spacing w:before="240" w:after="240"/>
      <w:ind w:left="864" w:hanging="864"/>
      <w:outlineLvl w:val="3"/>
    </w:pPr>
    <w:rPr>
      <w:rFonts w:eastAsia="Times New Roman"/>
      <w:b/>
      <w:bCs/>
      <w:color w:val="000000"/>
      <w:sz w:val="24"/>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C72D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72D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0F4380"/>
    <w:rPr>
      <w:rFonts w:ascii="Arial Black" w:eastAsia="Times New Roman" w:hAnsi="Arial Black"/>
      <w:bCs/>
      <w:color w:val="000000"/>
      <w:spacing w:val="20"/>
      <w:sz w:val="22"/>
      <w:szCs w:val="22"/>
    </w:rPr>
  </w:style>
  <w:style w:type="character" w:customStyle="1" w:styleId="Heading2Char">
    <w:name w:val="Heading 2 Char"/>
    <w:basedOn w:val="DefaultParagraphFont"/>
    <w:link w:val="Heading2"/>
    <w:rsid w:val="0049285A"/>
    <w:rPr>
      <w:rFonts w:eastAsia="Times New Roman"/>
      <w:b/>
      <w:bCs/>
      <w:color w:val="000000"/>
      <w:spacing w:val="20"/>
      <w:sz w:val="22"/>
      <w:szCs w:val="22"/>
    </w:rPr>
  </w:style>
  <w:style w:type="character" w:styleId="Hyperlink">
    <w:name w:val="Hyperlink"/>
    <w:basedOn w:val="DefaultParagraphFont"/>
    <w:uiPriority w:val="99"/>
    <w:unhideWhenUsed/>
    <w:rsid w:val="00A84F37"/>
    <w:rPr>
      <w:color w:val="0563C1" w:themeColor="hyperlink"/>
      <w:u w:val="single"/>
    </w:rPr>
  </w:style>
  <w:style w:type="character" w:customStyle="1" w:styleId="UnresolvedMention">
    <w:name w:val="Unresolved Mention"/>
    <w:basedOn w:val="DefaultParagraphFont"/>
    <w:uiPriority w:val="99"/>
    <w:semiHidden/>
    <w:unhideWhenUsed/>
    <w:rsid w:val="00A84F37"/>
    <w:rPr>
      <w:color w:val="605E5C"/>
      <w:shd w:val="clear" w:color="auto" w:fill="E1DFDD"/>
    </w:rPr>
  </w:style>
  <w:style w:type="character" w:styleId="FollowedHyperlink">
    <w:name w:val="FollowedHyperlink"/>
    <w:basedOn w:val="DefaultParagraphFont"/>
    <w:uiPriority w:val="99"/>
    <w:semiHidden/>
    <w:unhideWhenUsed/>
    <w:rsid w:val="00A84F37"/>
    <w:rPr>
      <w:color w:val="954F72" w:themeColor="followedHyperlink"/>
      <w:u w:val="single"/>
    </w:rPr>
  </w:style>
  <w:style w:type="character" w:customStyle="1" w:styleId="Heading3Char">
    <w:name w:val="Heading 3 Char"/>
    <w:basedOn w:val="DefaultParagraphFont"/>
    <w:link w:val="Heading3"/>
    <w:rsid w:val="0015773A"/>
    <w:rPr>
      <w:spacing w:val="20"/>
      <w:sz w:val="22"/>
      <w:szCs w:val="22"/>
    </w:rPr>
  </w:style>
  <w:style w:type="character" w:customStyle="1" w:styleId="Heading4Char">
    <w:name w:val="Heading 4 Char"/>
    <w:basedOn w:val="DefaultParagraphFont"/>
    <w:link w:val="Heading4"/>
    <w:rsid w:val="002364DB"/>
    <w:rPr>
      <w:rFonts w:ascii="Arial" w:eastAsia="Times New Roman" w:hAnsi="Arial" w:cs="Arial"/>
      <w:b/>
      <w:bCs/>
      <w:color w:val="000000"/>
      <w:sz w:val="24"/>
      <w:szCs w:val="28"/>
    </w:rPr>
  </w:style>
  <w:style w:type="paragraph" w:styleId="ListParagraph">
    <w:name w:val="List Paragraph"/>
    <w:basedOn w:val="Normal"/>
    <w:link w:val="ListParagraphChar"/>
    <w:uiPriority w:val="34"/>
    <w:qFormat/>
    <w:rsid w:val="001C26CB"/>
    <w:pPr>
      <w:ind w:left="720"/>
      <w:contextualSpacing/>
    </w:pPr>
  </w:style>
  <w:style w:type="paragraph" w:styleId="Caption">
    <w:name w:val="caption"/>
    <w:basedOn w:val="Normal"/>
    <w:next w:val="Normal"/>
    <w:qFormat/>
    <w:rsid w:val="00DE7B83"/>
    <w:pPr>
      <w:widowControl w:val="0"/>
      <w:spacing w:before="240" w:after="240"/>
      <w:jc w:val="center"/>
    </w:pPr>
    <w:rPr>
      <w:rFonts w:ascii="Times New Roman" w:eastAsia="Times New Roman" w:hAnsi="Times New Roman" w:cs="Times New Roman"/>
      <w:b/>
      <w:bCs/>
      <w:color w:val="000000"/>
      <w:sz w:val="24"/>
    </w:rPr>
  </w:style>
  <w:style w:type="paragraph" w:styleId="HTMLPreformatted">
    <w:name w:val="HTML Preformatted"/>
    <w:basedOn w:val="Normal"/>
    <w:link w:val="HTMLPreformattedChar"/>
    <w:uiPriority w:val="99"/>
    <w:unhideWhenUsed/>
    <w:rsid w:val="00DE7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DE7B83"/>
    <w:rPr>
      <w:rFonts w:ascii="Courier New" w:eastAsia="Times New Roman" w:hAnsi="Courier New" w:cs="Courier New"/>
      <w:sz w:val="20"/>
      <w:szCs w:val="20"/>
    </w:rPr>
  </w:style>
  <w:style w:type="paragraph" w:styleId="BodyText">
    <w:name w:val="Body Text"/>
    <w:basedOn w:val="Normal"/>
    <w:link w:val="BodyTextChar"/>
    <w:rsid w:val="00F510C9"/>
    <w:pPr>
      <w:widowControl w:val="0"/>
      <w:spacing w:before="0"/>
    </w:pPr>
    <w:rPr>
      <w:rFonts w:ascii="Times New Roman" w:eastAsia="Times New Roman" w:hAnsi="Times New Roman" w:cs="Times New Roman"/>
      <w:color w:val="000000"/>
      <w:sz w:val="24"/>
    </w:rPr>
  </w:style>
  <w:style w:type="character" w:customStyle="1" w:styleId="BodyTextChar">
    <w:name w:val="Body Text Char"/>
    <w:basedOn w:val="DefaultParagraphFont"/>
    <w:link w:val="BodyText"/>
    <w:rsid w:val="00F510C9"/>
    <w:rPr>
      <w:rFonts w:ascii="Times New Roman" w:eastAsia="Times New Roman" w:hAnsi="Times New Roman" w:cs="Times New Roman"/>
      <w:color w:val="000000"/>
      <w:sz w:val="24"/>
      <w:szCs w:val="20"/>
    </w:rPr>
  </w:style>
  <w:style w:type="paragraph" w:customStyle="1" w:styleId="Bullet1">
    <w:name w:val="Bullet 1"/>
    <w:basedOn w:val="Normal"/>
    <w:rsid w:val="00F510C9"/>
    <w:pPr>
      <w:widowControl w:val="0"/>
      <w:numPr>
        <w:numId w:val="1"/>
      </w:numPr>
      <w:autoSpaceDE w:val="0"/>
      <w:autoSpaceDN w:val="0"/>
      <w:spacing w:before="0"/>
      <w:ind w:right="1224"/>
    </w:pPr>
    <w:rPr>
      <w:rFonts w:ascii="Times New Roman" w:eastAsia="Times New Roman" w:hAnsi="Times New Roman" w:cs="Times New Roman"/>
      <w:bCs/>
      <w:color w:val="000000"/>
      <w:sz w:val="24"/>
    </w:rPr>
  </w:style>
  <w:style w:type="paragraph" w:customStyle="1" w:styleId="Bullet2">
    <w:name w:val="Bullet 2"/>
    <w:basedOn w:val="Bullet1"/>
    <w:next w:val="BodyText"/>
    <w:rsid w:val="00F510C9"/>
    <w:pPr>
      <w:numPr>
        <w:ilvl w:val="1"/>
      </w:numPr>
    </w:pPr>
  </w:style>
  <w:style w:type="paragraph" w:customStyle="1" w:styleId="DefaultText">
    <w:name w:val="Default Text"/>
    <w:basedOn w:val="Normal"/>
    <w:next w:val="Normal"/>
    <w:uiPriority w:val="99"/>
    <w:rsid w:val="0007392D"/>
    <w:pPr>
      <w:autoSpaceDE w:val="0"/>
      <w:autoSpaceDN w:val="0"/>
      <w:adjustRightInd w:val="0"/>
      <w:spacing w:before="0" w:after="0"/>
    </w:pPr>
    <w:rPr>
      <w:rFonts w:eastAsia="Times New Roman"/>
      <w:sz w:val="24"/>
      <w:szCs w:val="24"/>
    </w:rPr>
  </w:style>
  <w:style w:type="paragraph" w:styleId="TOC1">
    <w:name w:val="toc 1"/>
    <w:basedOn w:val="Normal"/>
    <w:next w:val="Normal"/>
    <w:autoRedefine/>
    <w:uiPriority w:val="39"/>
    <w:unhideWhenUsed/>
    <w:rsid w:val="00746D59"/>
    <w:pPr>
      <w:spacing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746D59"/>
    <w:pPr>
      <w:spacing w:after="0"/>
      <w:ind w:left="200"/>
    </w:pPr>
    <w:rPr>
      <w:rFonts w:asciiTheme="minorHAnsi" w:hAnsiTheme="minorHAnsi" w:cstheme="minorHAnsi"/>
      <w:b/>
      <w:bCs/>
      <w:sz w:val="22"/>
    </w:rPr>
  </w:style>
  <w:style w:type="paragraph" w:styleId="TOC3">
    <w:name w:val="toc 3"/>
    <w:basedOn w:val="Normal"/>
    <w:next w:val="Normal"/>
    <w:autoRedefine/>
    <w:uiPriority w:val="39"/>
    <w:unhideWhenUsed/>
    <w:rsid w:val="00746D59"/>
    <w:pPr>
      <w:spacing w:before="0" w:after="0"/>
      <w:ind w:left="400"/>
    </w:pPr>
    <w:rPr>
      <w:rFonts w:asciiTheme="minorHAnsi" w:hAnsiTheme="minorHAnsi" w:cstheme="minorHAnsi"/>
    </w:rPr>
  </w:style>
  <w:style w:type="paragraph" w:styleId="TOC4">
    <w:name w:val="toc 4"/>
    <w:basedOn w:val="Normal"/>
    <w:next w:val="Normal"/>
    <w:autoRedefine/>
    <w:uiPriority w:val="39"/>
    <w:unhideWhenUsed/>
    <w:rsid w:val="00746D59"/>
    <w:pPr>
      <w:spacing w:before="0" w:after="0"/>
      <w:ind w:left="600"/>
    </w:pPr>
    <w:rPr>
      <w:rFonts w:asciiTheme="minorHAnsi" w:hAnsiTheme="minorHAnsi" w:cstheme="minorHAnsi"/>
    </w:rPr>
  </w:style>
  <w:style w:type="paragraph" w:styleId="TOC5">
    <w:name w:val="toc 5"/>
    <w:basedOn w:val="Normal"/>
    <w:next w:val="Normal"/>
    <w:autoRedefine/>
    <w:uiPriority w:val="39"/>
    <w:unhideWhenUsed/>
    <w:rsid w:val="00746D59"/>
    <w:pPr>
      <w:spacing w:before="0" w:after="0"/>
      <w:ind w:left="800"/>
    </w:pPr>
    <w:rPr>
      <w:rFonts w:asciiTheme="minorHAnsi" w:hAnsiTheme="minorHAnsi" w:cstheme="minorHAnsi"/>
    </w:rPr>
  </w:style>
  <w:style w:type="paragraph" w:styleId="TOC6">
    <w:name w:val="toc 6"/>
    <w:basedOn w:val="Normal"/>
    <w:next w:val="Normal"/>
    <w:autoRedefine/>
    <w:uiPriority w:val="39"/>
    <w:unhideWhenUsed/>
    <w:rsid w:val="00746D59"/>
    <w:pPr>
      <w:spacing w:before="0" w:after="0"/>
      <w:ind w:left="1000"/>
    </w:pPr>
    <w:rPr>
      <w:rFonts w:asciiTheme="minorHAnsi" w:hAnsiTheme="minorHAnsi" w:cstheme="minorHAnsi"/>
    </w:rPr>
  </w:style>
  <w:style w:type="paragraph" w:styleId="TOC7">
    <w:name w:val="toc 7"/>
    <w:basedOn w:val="Normal"/>
    <w:next w:val="Normal"/>
    <w:autoRedefine/>
    <w:uiPriority w:val="39"/>
    <w:unhideWhenUsed/>
    <w:rsid w:val="00746D59"/>
    <w:pPr>
      <w:spacing w:before="0" w:after="0"/>
      <w:ind w:left="1200"/>
    </w:pPr>
    <w:rPr>
      <w:rFonts w:asciiTheme="minorHAnsi" w:hAnsiTheme="minorHAnsi" w:cstheme="minorHAnsi"/>
    </w:rPr>
  </w:style>
  <w:style w:type="paragraph" w:styleId="TOC8">
    <w:name w:val="toc 8"/>
    <w:basedOn w:val="Normal"/>
    <w:next w:val="Normal"/>
    <w:autoRedefine/>
    <w:uiPriority w:val="39"/>
    <w:unhideWhenUsed/>
    <w:rsid w:val="00746D59"/>
    <w:pPr>
      <w:spacing w:before="0" w:after="0"/>
      <w:ind w:left="1400"/>
    </w:pPr>
    <w:rPr>
      <w:rFonts w:asciiTheme="minorHAnsi" w:hAnsiTheme="minorHAnsi" w:cstheme="minorHAnsi"/>
    </w:rPr>
  </w:style>
  <w:style w:type="paragraph" w:styleId="TOC9">
    <w:name w:val="toc 9"/>
    <w:basedOn w:val="Normal"/>
    <w:next w:val="Normal"/>
    <w:autoRedefine/>
    <w:uiPriority w:val="39"/>
    <w:unhideWhenUsed/>
    <w:rsid w:val="00746D59"/>
    <w:pPr>
      <w:spacing w:before="0" w:after="0"/>
      <w:ind w:left="1600"/>
    </w:pPr>
    <w:rPr>
      <w:rFonts w:asciiTheme="minorHAnsi" w:hAnsiTheme="minorHAnsi" w:cstheme="minorHAnsi"/>
    </w:rPr>
  </w:style>
  <w:style w:type="paragraph" w:customStyle="1" w:styleId="Heading3-CF">
    <w:name w:val="Heading 3 - CF"/>
    <w:basedOn w:val="Heading3"/>
    <w:link w:val="Heading3-CFChar"/>
    <w:rsid w:val="002F4BCE"/>
    <w:pPr>
      <w:tabs>
        <w:tab w:val="left" w:pos="360"/>
        <w:tab w:val="left" w:pos="720"/>
        <w:tab w:val="left" w:pos="1080"/>
      </w:tabs>
      <w:spacing w:before="0" w:after="0"/>
    </w:pPr>
    <w:rPr>
      <w:rFonts w:ascii="Calibri" w:eastAsia="Times New Roman" w:hAnsi="Calibri" w:cs="Calibri"/>
      <w:b/>
      <w:bCs/>
      <w:smallCaps/>
      <w:color w:val="44546A" w:themeColor="text2"/>
    </w:rPr>
  </w:style>
  <w:style w:type="character" w:customStyle="1" w:styleId="Heading3-CFChar">
    <w:name w:val="Heading 3 - CF Char"/>
    <w:basedOn w:val="DefaultParagraphFont"/>
    <w:link w:val="Heading3-CF"/>
    <w:rsid w:val="002F4BCE"/>
    <w:rPr>
      <w:rFonts w:ascii="Calibri" w:eastAsia="Times New Roman" w:hAnsi="Calibri" w:cs="Calibri"/>
      <w:b/>
      <w:bCs/>
      <w:smallCaps/>
      <w:color w:val="44546A" w:themeColor="text2"/>
      <w:spacing w:val="20"/>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NoSpacing">
    <w:name w:val="No Spacing"/>
    <w:link w:val="NoSpacingChar"/>
    <w:uiPriority w:val="1"/>
    <w:qFormat/>
    <w:rsid w:val="00294EEB"/>
    <w:pPr>
      <w:spacing w:before="0" w:after="0"/>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94EEB"/>
    <w:rPr>
      <w:rFonts w:asciiTheme="minorHAnsi" w:eastAsiaTheme="minorEastAsia" w:hAnsiTheme="minorHAnsi" w:cstheme="minorBidi"/>
      <w:sz w:val="22"/>
      <w:szCs w:val="22"/>
    </w:rPr>
  </w:style>
  <w:style w:type="paragraph" w:styleId="NormalWeb">
    <w:name w:val="Normal (Web)"/>
    <w:basedOn w:val="Normal"/>
    <w:uiPriority w:val="99"/>
    <w:semiHidden/>
    <w:unhideWhenUsed/>
    <w:rsid w:val="00B717DB"/>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C10BF"/>
    <w:pPr>
      <w:tabs>
        <w:tab w:val="center" w:pos="4680"/>
        <w:tab w:val="right" w:pos="9360"/>
      </w:tabs>
      <w:spacing w:before="0" w:after="0"/>
    </w:pPr>
  </w:style>
  <w:style w:type="character" w:customStyle="1" w:styleId="HeaderChar">
    <w:name w:val="Header Char"/>
    <w:basedOn w:val="DefaultParagraphFont"/>
    <w:link w:val="Header"/>
    <w:uiPriority w:val="99"/>
    <w:rsid w:val="00DC10BF"/>
  </w:style>
  <w:style w:type="paragraph" w:styleId="Footer">
    <w:name w:val="footer"/>
    <w:basedOn w:val="Normal"/>
    <w:link w:val="FooterChar"/>
    <w:uiPriority w:val="99"/>
    <w:unhideWhenUsed/>
    <w:rsid w:val="00DC10BF"/>
    <w:pPr>
      <w:tabs>
        <w:tab w:val="center" w:pos="4680"/>
        <w:tab w:val="right" w:pos="9360"/>
      </w:tabs>
      <w:spacing w:before="0" w:after="0"/>
    </w:pPr>
  </w:style>
  <w:style w:type="character" w:customStyle="1" w:styleId="FooterChar">
    <w:name w:val="Footer Char"/>
    <w:basedOn w:val="DefaultParagraphFont"/>
    <w:link w:val="Footer"/>
    <w:uiPriority w:val="99"/>
    <w:rsid w:val="00DC10BF"/>
  </w:style>
  <w:style w:type="character" w:customStyle="1" w:styleId="apple-tab-span">
    <w:name w:val="apple-tab-span"/>
    <w:basedOn w:val="DefaultParagraphFont"/>
    <w:rsid w:val="00DC10BF"/>
  </w:style>
  <w:style w:type="paragraph" w:customStyle="1" w:styleId="CLIN-TO">
    <w:name w:val="CLIN-TO"/>
    <w:basedOn w:val="ListParagraph"/>
    <w:link w:val="CLIN-TOChar"/>
    <w:qFormat/>
    <w:rsid w:val="0015773A"/>
    <w:pPr>
      <w:numPr>
        <w:numId w:val="4"/>
      </w:numPr>
      <w:spacing w:before="240" w:after="240"/>
      <w:ind w:left="1080" w:hanging="720"/>
      <w:contextualSpacing w:val="0"/>
    </w:pPr>
    <w:rPr>
      <w:spacing w:val="20"/>
      <w:sz w:val="22"/>
      <w:szCs w:val="22"/>
    </w:rPr>
  </w:style>
  <w:style w:type="paragraph" w:customStyle="1" w:styleId="Tables">
    <w:name w:val="Tables"/>
    <w:basedOn w:val="Normal"/>
    <w:link w:val="TablesChar"/>
    <w:qFormat/>
    <w:rsid w:val="00E62180"/>
    <w:pPr>
      <w:spacing w:before="0" w:after="0"/>
    </w:pPr>
    <w:rPr>
      <w:rFonts w:ascii="Arial Black" w:hAnsi="Arial Black"/>
      <w:sz w:val="22"/>
    </w:rPr>
  </w:style>
  <w:style w:type="character" w:customStyle="1" w:styleId="ListParagraphChar">
    <w:name w:val="List Paragraph Char"/>
    <w:basedOn w:val="DefaultParagraphFont"/>
    <w:link w:val="ListParagraph"/>
    <w:uiPriority w:val="34"/>
    <w:rsid w:val="00A04E6C"/>
  </w:style>
  <w:style w:type="character" w:customStyle="1" w:styleId="CLIN-TOChar">
    <w:name w:val="CLIN-TO Char"/>
    <w:basedOn w:val="ListParagraphChar"/>
    <w:link w:val="CLIN-TO"/>
    <w:rsid w:val="0015773A"/>
    <w:rPr>
      <w:spacing w:val="20"/>
      <w:sz w:val="22"/>
      <w:szCs w:val="22"/>
    </w:rPr>
  </w:style>
  <w:style w:type="character" w:customStyle="1" w:styleId="TablesChar">
    <w:name w:val="Tables Char"/>
    <w:basedOn w:val="DefaultParagraphFont"/>
    <w:link w:val="Tables"/>
    <w:rsid w:val="00E62180"/>
    <w:rPr>
      <w:rFonts w:ascii="Arial Black" w:hAnsi="Arial Black"/>
      <w:sz w:val="22"/>
    </w:rPr>
  </w:style>
  <w:style w:type="paragraph" w:styleId="BalloonText">
    <w:name w:val="Balloon Text"/>
    <w:basedOn w:val="Normal"/>
    <w:link w:val="BalloonTextChar"/>
    <w:uiPriority w:val="99"/>
    <w:semiHidden/>
    <w:unhideWhenUsed/>
    <w:rsid w:val="00BF233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33D"/>
    <w:rPr>
      <w:rFonts w:ascii="Segoe UI" w:hAnsi="Segoe UI" w:cs="Segoe UI"/>
      <w:sz w:val="18"/>
      <w:szCs w:val="18"/>
    </w:rPr>
  </w:style>
  <w:style w:type="character" w:styleId="CommentReference">
    <w:name w:val="annotation reference"/>
    <w:basedOn w:val="DefaultParagraphFont"/>
    <w:uiPriority w:val="99"/>
    <w:semiHidden/>
    <w:unhideWhenUsed/>
    <w:rsid w:val="00B82D38"/>
    <w:rPr>
      <w:sz w:val="16"/>
      <w:szCs w:val="16"/>
    </w:rPr>
  </w:style>
  <w:style w:type="paragraph" w:styleId="CommentText">
    <w:name w:val="annotation text"/>
    <w:basedOn w:val="Normal"/>
    <w:link w:val="CommentTextChar"/>
    <w:uiPriority w:val="99"/>
    <w:semiHidden/>
    <w:unhideWhenUsed/>
    <w:rsid w:val="00B82D38"/>
  </w:style>
  <w:style w:type="character" w:customStyle="1" w:styleId="CommentTextChar">
    <w:name w:val="Comment Text Char"/>
    <w:basedOn w:val="DefaultParagraphFont"/>
    <w:link w:val="CommentText"/>
    <w:uiPriority w:val="99"/>
    <w:semiHidden/>
    <w:rsid w:val="00B82D38"/>
  </w:style>
  <w:style w:type="paragraph" w:styleId="CommentSubject">
    <w:name w:val="annotation subject"/>
    <w:basedOn w:val="CommentText"/>
    <w:next w:val="CommentText"/>
    <w:link w:val="CommentSubjectChar"/>
    <w:uiPriority w:val="99"/>
    <w:semiHidden/>
    <w:unhideWhenUsed/>
    <w:rsid w:val="00B82D38"/>
    <w:rPr>
      <w:b/>
      <w:bCs/>
    </w:rPr>
  </w:style>
  <w:style w:type="character" w:customStyle="1" w:styleId="CommentSubjectChar">
    <w:name w:val="Comment Subject Char"/>
    <w:basedOn w:val="CommentTextChar"/>
    <w:link w:val="CommentSubject"/>
    <w:uiPriority w:val="99"/>
    <w:semiHidden/>
    <w:rsid w:val="00B82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34743">
      <w:bodyDiv w:val="1"/>
      <w:marLeft w:val="0"/>
      <w:marRight w:val="0"/>
      <w:marTop w:val="0"/>
      <w:marBottom w:val="0"/>
      <w:divBdr>
        <w:top w:val="none" w:sz="0" w:space="0" w:color="auto"/>
        <w:left w:val="none" w:sz="0" w:space="0" w:color="auto"/>
        <w:bottom w:val="none" w:sz="0" w:space="0" w:color="auto"/>
        <w:right w:val="none" w:sz="0" w:space="0" w:color="auto"/>
      </w:divBdr>
    </w:div>
    <w:div w:id="271858861">
      <w:bodyDiv w:val="1"/>
      <w:marLeft w:val="0"/>
      <w:marRight w:val="0"/>
      <w:marTop w:val="0"/>
      <w:marBottom w:val="0"/>
      <w:divBdr>
        <w:top w:val="none" w:sz="0" w:space="0" w:color="auto"/>
        <w:left w:val="none" w:sz="0" w:space="0" w:color="auto"/>
        <w:bottom w:val="none" w:sz="0" w:space="0" w:color="auto"/>
        <w:right w:val="none" w:sz="0" w:space="0" w:color="auto"/>
      </w:divBdr>
    </w:div>
    <w:div w:id="289753337">
      <w:bodyDiv w:val="1"/>
      <w:marLeft w:val="0"/>
      <w:marRight w:val="0"/>
      <w:marTop w:val="0"/>
      <w:marBottom w:val="0"/>
      <w:divBdr>
        <w:top w:val="none" w:sz="0" w:space="0" w:color="auto"/>
        <w:left w:val="none" w:sz="0" w:space="0" w:color="auto"/>
        <w:bottom w:val="none" w:sz="0" w:space="0" w:color="auto"/>
        <w:right w:val="none" w:sz="0" w:space="0" w:color="auto"/>
      </w:divBdr>
    </w:div>
    <w:div w:id="324819623">
      <w:bodyDiv w:val="1"/>
      <w:marLeft w:val="0"/>
      <w:marRight w:val="0"/>
      <w:marTop w:val="0"/>
      <w:marBottom w:val="0"/>
      <w:divBdr>
        <w:top w:val="none" w:sz="0" w:space="0" w:color="auto"/>
        <w:left w:val="none" w:sz="0" w:space="0" w:color="auto"/>
        <w:bottom w:val="none" w:sz="0" w:space="0" w:color="auto"/>
        <w:right w:val="none" w:sz="0" w:space="0" w:color="auto"/>
      </w:divBdr>
    </w:div>
    <w:div w:id="330527974">
      <w:bodyDiv w:val="1"/>
      <w:marLeft w:val="0"/>
      <w:marRight w:val="0"/>
      <w:marTop w:val="0"/>
      <w:marBottom w:val="0"/>
      <w:divBdr>
        <w:top w:val="none" w:sz="0" w:space="0" w:color="auto"/>
        <w:left w:val="none" w:sz="0" w:space="0" w:color="auto"/>
        <w:bottom w:val="none" w:sz="0" w:space="0" w:color="auto"/>
        <w:right w:val="none" w:sz="0" w:space="0" w:color="auto"/>
      </w:divBdr>
      <w:divsChild>
        <w:div w:id="809833504">
          <w:marLeft w:val="-100"/>
          <w:marRight w:val="0"/>
          <w:marTop w:val="0"/>
          <w:marBottom w:val="0"/>
          <w:divBdr>
            <w:top w:val="none" w:sz="0" w:space="0" w:color="auto"/>
            <w:left w:val="none" w:sz="0" w:space="0" w:color="auto"/>
            <w:bottom w:val="none" w:sz="0" w:space="0" w:color="auto"/>
            <w:right w:val="none" w:sz="0" w:space="0" w:color="auto"/>
          </w:divBdr>
        </w:div>
      </w:divsChild>
    </w:div>
    <w:div w:id="484325530">
      <w:bodyDiv w:val="1"/>
      <w:marLeft w:val="0"/>
      <w:marRight w:val="0"/>
      <w:marTop w:val="0"/>
      <w:marBottom w:val="0"/>
      <w:divBdr>
        <w:top w:val="none" w:sz="0" w:space="0" w:color="auto"/>
        <w:left w:val="none" w:sz="0" w:space="0" w:color="auto"/>
        <w:bottom w:val="none" w:sz="0" w:space="0" w:color="auto"/>
        <w:right w:val="none" w:sz="0" w:space="0" w:color="auto"/>
      </w:divBdr>
      <w:divsChild>
        <w:div w:id="1027371530">
          <w:marLeft w:val="-100"/>
          <w:marRight w:val="0"/>
          <w:marTop w:val="0"/>
          <w:marBottom w:val="0"/>
          <w:divBdr>
            <w:top w:val="none" w:sz="0" w:space="0" w:color="auto"/>
            <w:left w:val="none" w:sz="0" w:space="0" w:color="auto"/>
            <w:bottom w:val="none" w:sz="0" w:space="0" w:color="auto"/>
            <w:right w:val="none" w:sz="0" w:space="0" w:color="auto"/>
          </w:divBdr>
        </w:div>
      </w:divsChild>
    </w:div>
    <w:div w:id="681856012">
      <w:bodyDiv w:val="1"/>
      <w:marLeft w:val="0"/>
      <w:marRight w:val="0"/>
      <w:marTop w:val="0"/>
      <w:marBottom w:val="0"/>
      <w:divBdr>
        <w:top w:val="none" w:sz="0" w:space="0" w:color="auto"/>
        <w:left w:val="none" w:sz="0" w:space="0" w:color="auto"/>
        <w:bottom w:val="none" w:sz="0" w:space="0" w:color="auto"/>
        <w:right w:val="none" w:sz="0" w:space="0" w:color="auto"/>
      </w:divBdr>
    </w:div>
    <w:div w:id="926502305">
      <w:bodyDiv w:val="1"/>
      <w:marLeft w:val="0"/>
      <w:marRight w:val="0"/>
      <w:marTop w:val="0"/>
      <w:marBottom w:val="0"/>
      <w:divBdr>
        <w:top w:val="none" w:sz="0" w:space="0" w:color="auto"/>
        <w:left w:val="none" w:sz="0" w:space="0" w:color="auto"/>
        <w:bottom w:val="none" w:sz="0" w:space="0" w:color="auto"/>
        <w:right w:val="none" w:sz="0" w:space="0" w:color="auto"/>
      </w:divBdr>
    </w:div>
    <w:div w:id="1093010793">
      <w:bodyDiv w:val="1"/>
      <w:marLeft w:val="0"/>
      <w:marRight w:val="0"/>
      <w:marTop w:val="0"/>
      <w:marBottom w:val="0"/>
      <w:divBdr>
        <w:top w:val="none" w:sz="0" w:space="0" w:color="auto"/>
        <w:left w:val="none" w:sz="0" w:space="0" w:color="auto"/>
        <w:bottom w:val="none" w:sz="0" w:space="0" w:color="auto"/>
        <w:right w:val="none" w:sz="0" w:space="0" w:color="auto"/>
      </w:divBdr>
      <w:divsChild>
        <w:div w:id="424809662">
          <w:marLeft w:val="547"/>
          <w:marRight w:val="0"/>
          <w:marTop w:val="0"/>
          <w:marBottom w:val="0"/>
          <w:divBdr>
            <w:top w:val="none" w:sz="0" w:space="0" w:color="auto"/>
            <w:left w:val="none" w:sz="0" w:space="0" w:color="auto"/>
            <w:bottom w:val="none" w:sz="0" w:space="0" w:color="auto"/>
            <w:right w:val="none" w:sz="0" w:space="0" w:color="auto"/>
          </w:divBdr>
        </w:div>
        <w:div w:id="253129835">
          <w:marLeft w:val="547"/>
          <w:marRight w:val="0"/>
          <w:marTop w:val="0"/>
          <w:marBottom w:val="0"/>
          <w:divBdr>
            <w:top w:val="none" w:sz="0" w:space="0" w:color="auto"/>
            <w:left w:val="none" w:sz="0" w:space="0" w:color="auto"/>
            <w:bottom w:val="none" w:sz="0" w:space="0" w:color="auto"/>
            <w:right w:val="none" w:sz="0" w:space="0" w:color="auto"/>
          </w:divBdr>
        </w:div>
        <w:div w:id="1787122055">
          <w:marLeft w:val="547"/>
          <w:marRight w:val="0"/>
          <w:marTop w:val="0"/>
          <w:marBottom w:val="0"/>
          <w:divBdr>
            <w:top w:val="none" w:sz="0" w:space="0" w:color="auto"/>
            <w:left w:val="none" w:sz="0" w:space="0" w:color="auto"/>
            <w:bottom w:val="none" w:sz="0" w:space="0" w:color="auto"/>
            <w:right w:val="none" w:sz="0" w:space="0" w:color="auto"/>
          </w:divBdr>
        </w:div>
        <w:div w:id="149517532">
          <w:marLeft w:val="547"/>
          <w:marRight w:val="0"/>
          <w:marTop w:val="0"/>
          <w:marBottom w:val="0"/>
          <w:divBdr>
            <w:top w:val="none" w:sz="0" w:space="0" w:color="auto"/>
            <w:left w:val="none" w:sz="0" w:space="0" w:color="auto"/>
            <w:bottom w:val="none" w:sz="0" w:space="0" w:color="auto"/>
            <w:right w:val="none" w:sz="0" w:space="0" w:color="auto"/>
          </w:divBdr>
        </w:div>
        <w:div w:id="275649097">
          <w:marLeft w:val="547"/>
          <w:marRight w:val="0"/>
          <w:marTop w:val="0"/>
          <w:marBottom w:val="0"/>
          <w:divBdr>
            <w:top w:val="none" w:sz="0" w:space="0" w:color="auto"/>
            <w:left w:val="none" w:sz="0" w:space="0" w:color="auto"/>
            <w:bottom w:val="none" w:sz="0" w:space="0" w:color="auto"/>
            <w:right w:val="none" w:sz="0" w:space="0" w:color="auto"/>
          </w:divBdr>
        </w:div>
        <w:div w:id="1930851696">
          <w:marLeft w:val="547"/>
          <w:marRight w:val="0"/>
          <w:marTop w:val="0"/>
          <w:marBottom w:val="0"/>
          <w:divBdr>
            <w:top w:val="none" w:sz="0" w:space="0" w:color="auto"/>
            <w:left w:val="none" w:sz="0" w:space="0" w:color="auto"/>
            <w:bottom w:val="none" w:sz="0" w:space="0" w:color="auto"/>
            <w:right w:val="none" w:sz="0" w:space="0" w:color="auto"/>
          </w:divBdr>
        </w:div>
        <w:div w:id="1085765805">
          <w:marLeft w:val="547"/>
          <w:marRight w:val="0"/>
          <w:marTop w:val="0"/>
          <w:marBottom w:val="0"/>
          <w:divBdr>
            <w:top w:val="none" w:sz="0" w:space="0" w:color="auto"/>
            <w:left w:val="none" w:sz="0" w:space="0" w:color="auto"/>
            <w:bottom w:val="none" w:sz="0" w:space="0" w:color="auto"/>
            <w:right w:val="none" w:sz="0" w:space="0" w:color="auto"/>
          </w:divBdr>
        </w:div>
        <w:div w:id="927811260">
          <w:marLeft w:val="547"/>
          <w:marRight w:val="0"/>
          <w:marTop w:val="0"/>
          <w:marBottom w:val="0"/>
          <w:divBdr>
            <w:top w:val="none" w:sz="0" w:space="0" w:color="auto"/>
            <w:left w:val="none" w:sz="0" w:space="0" w:color="auto"/>
            <w:bottom w:val="none" w:sz="0" w:space="0" w:color="auto"/>
            <w:right w:val="none" w:sz="0" w:space="0" w:color="auto"/>
          </w:divBdr>
        </w:div>
      </w:divsChild>
    </w:div>
    <w:div w:id="1097139212">
      <w:bodyDiv w:val="1"/>
      <w:marLeft w:val="0"/>
      <w:marRight w:val="0"/>
      <w:marTop w:val="0"/>
      <w:marBottom w:val="0"/>
      <w:divBdr>
        <w:top w:val="none" w:sz="0" w:space="0" w:color="auto"/>
        <w:left w:val="none" w:sz="0" w:space="0" w:color="auto"/>
        <w:bottom w:val="none" w:sz="0" w:space="0" w:color="auto"/>
        <w:right w:val="none" w:sz="0" w:space="0" w:color="auto"/>
      </w:divBdr>
    </w:div>
    <w:div w:id="1300259513">
      <w:bodyDiv w:val="1"/>
      <w:marLeft w:val="0"/>
      <w:marRight w:val="0"/>
      <w:marTop w:val="0"/>
      <w:marBottom w:val="0"/>
      <w:divBdr>
        <w:top w:val="none" w:sz="0" w:space="0" w:color="auto"/>
        <w:left w:val="none" w:sz="0" w:space="0" w:color="auto"/>
        <w:bottom w:val="none" w:sz="0" w:space="0" w:color="auto"/>
        <w:right w:val="none" w:sz="0" w:space="0" w:color="auto"/>
      </w:divBdr>
    </w:div>
    <w:div w:id="1556434061">
      <w:bodyDiv w:val="1"/>
      <w:marLeft w:val="0"/>
      <w:marRight w:val="0"/>
      <w:marTop w:val="0"/>
      <w:marBottom w:val="0"/>
      <w:divBdr>
        <w:top w:val="none" w:sz="0" w:space="0" w:color="auto"/>
        <w:left w:val="none" w:sz="0" w:space="0" w:color="auto"/>
        <w:bottom w:val="none" w:sz="0" w:space="0" w:color="auto"/>
        <w:right w:val="none" w:sz="0" w:space="0" w:color="auto"/>
      </w:divBdr>
    </w:div>
    <w:div w:id="1828747095">
      <w:bodyDiv w:val="1"/>
      <w:marLeft w:val="0"/>
      <w:marRight w:val="0"/>
      <w:marTop w:val="0"/>
      <w:marBottom w:val="0"/>
      <w:divBdr>
        <w:top w:val="none" w:sz="0" w:space="0" w:color="auto"/>
        <w:left w:val="none" w:sz="0" w:space="0" w:color="auto"/>
        <w:bottom w:val="none" w:sz="0" w:space="0" w:color="auto"/>
        <w:right w:val="none" w:sz="0" w:space="0" w:color="auto"/>
      </w:divBdr>
    </w:div>
    <w:div w:id="1872643521">
      <w:bodyDiv w:val="1"/>
      <w:marLeft w:val="0"/>
      <w:marRight w:val="0"/>
      <w:marTop w:val="0"/>
      <w:marBottom w:val="0"/>
      <w:divBdr>
        <w:top w:val="none" w:sz="0" w:space="0" w:color="auto"/>
        <w:left w:val="none" w:sz="0" w:space="0" w:color="auto"/>
        <w:bottom w:val="none" w:sz="0" w:space="0" w:color="auto"/>
        <w:right w:val="none" w:sz="0" w:space="0" w:color="auto"/>
      </w:divBdr>
    </w:div>
    <w:div w:id="1938169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2022-09-06T00:00:00</PublishDate>
  <Abstract/>
  <CompanyAddress/>
  <CompanyPhone/>
  <CompanyFax/>
  <CompanyEmail/>
</CoverPage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4nMOypotKTOtBkZQXbXLXP3Yl6Q==">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</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EB368FB-0343-412C-A8FB-0EB394314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2914</Words>
  <Characters>15448</Characters>
  <Application>Microsoft Office Word</Application>
  <DocSecurity>0</DocSecurity>
  <Lines>1029</Lines>
  <Paragraphs>706</Paragraphs>
  <ScaleCrop>false</ScaleCrop>
  <HeadingPairs>
    <vt:vector size="2" baseType="variant">
      <vt:variant>
        <vt:lpstr>Title</vt:lpstr>
      </vt:variant>
      <vt:variant>
        <vt:i4>1</vt:i4>
      </vt:variant>
    </vt:vector>
  </HeadingPairs>
  <TitlesOfParts>
    <vt:vector size="1" baseType="lpstr">
      <vt:lpstr>Information Privacy &amp; Security Program</vt:lpstr>
    </vt:vector>
  </TitlesOfParts>
  <Company>New Mexico Institute of Mining and Technology</Company>
  <LinksUpToDate>false</LinksUpToDate>
  <CharactersWithSpaces>17656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Privacy &amp; Security Program</dc:title>
  <dc:subject>NMT.01.01.01 | Interconnection Security Agreement (ISA)</dc:subject>
  <dc:creator>Ciufo, Philip A.</dc:creator>
  <cp:keywords>Confidential</cp:keywords>
  <cp:lastModifiedBy>Miller, Kimela R.</cp:lastModifiedBy>
  <cp:revision>2</cp:revision>
  <dcterms:created xsi:type="dcterms:W3CDTF">2023-01-06T17:28:00Z</dcterms:created>
  <dcterms:modified xsi:type="dcterms:W3CDTF">2023-01-06T17:28:00Z</dcterms:modified>
</cp:coreProperties>
</file>